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865D" w14:textId="77777777" w:rsidR="00230354" w:rsidRDefault="00A47497" w:rsidP="00FE48BD">
      <w:pPr>
        <w:pStyle w:val="berschrift1"/>
        <w:rPr>
          <w:rFonts w:ascii="Arial" w:hAnsi="Arial" w:cs="Arial"/>
        </w:rPr>
      </w:pPr>
      <w:r w:rsidRPr="00CD5C94">
        <w:rPr>
          <w:rFonts w:ascii="Arial" w:hAnsi="Arial" w:cs="Arial"/>
        </w:rPr>
        <w:t>Öffentlichkeitsbeteiligung zum</w:t>
      </w:r>
      <w:r w:rsidR="00FE48BD" w:rsidRPr="00CD5C94">
        <w:rPr>
          <w:rFonts w:ascii="Arial" w:hAnsi="Arial" w:cs="Arial"/>
        </w:rPr>
        <w:t xml:space="preserve"> </w:t>
      </w:r>
      <w:r w:rsidR="00230354">
        <w:rPr>
          <w:rFonts w:ascii="Arial" w:hAnsi="Arial" w:cs="Arial"/>
        </w:rPr>
        <w:t>NWP</w:t>
      </w:r>
    </w:p>
    <w:p w14:paraId="141AF42E" w14:textId="405078D3" w:rsidR="00FE48BD" w:rsidRDefault="00515B06" w:rsidP="00FE48BD">
      <w:pPr>
        <w:pStyle w:val="berschrift1"/>
        <w:rPr>
          <w:rFonts w:ascii="Arial" w:hAnsi="Arial" w:cs="Arial"/>
        </w:rPr>
      </w:pPr>
      <w:r>
        <w:rPr>
          <w:rFonts w:ascii="Arial" w:hAnsi="Arial" w:cs="Arial"/>
        </w:rPr>
        <w:t>Textbausteine</w:t>
      </w:r>
    </w:p>
    <w:p w14:paraId="2AC4A347" w14:textId="77777777" w:rsidR="00AA25EC" w:rsidRDefault="00AA25EC" w:rsidP="00CD5C94">
      <w:pPr>
        <w:tabs>
          <w:tab w:val="num" w:pos="720"/>
        </w:tabs>
        <w:rPr>
          <w:rFonts w:ascii="Arial" w:hAnsi="Arial" w:cs="Arial"/>
        </w:rPr>
      </w:pPr>
    </w:p>
    <w:p w14:paraId="5706C53C" w14:textId="77777777" w:rsidR="00AA25EC" w:rsidRPr="00AA25EC" w:rsidRDefault="00AA25EC" w:rsidP="00AA25EC">
      <w:pPr>
        <w:rPr>
          <w:rFonts w:ascii="Arial" w:hAnsi="Arial" w:cs="Arial"/>
          <w:b/>
          <w:bCs/>
        </w:rPr>
      </w:pPr>
      <w:r w:rsidRPr="00AA25EC">
        <w:rPr>
          <w:rFonts w:ascii="Arial" w:hAnsi="Arial" w:cs="Arial"/>
          <w:b/>
          <w:bCs/>
        </w:rPr>
        <w:t xml:space="preserve">Das Beteiligungsverfahren läuft ausschließlich digital. Stellungnahmen können </w:t>
      </w:r>
      <w:r w:rsidRPr="00AA25EC">
        <w:rPr>
          <w:rFonts w:ascii="Arial" w:hAnsi="Arial" w:cs="Arial"/>
          <w:b/>
          <w:bCs/>
          <w:color w:val="EE0000"/>
        </w:rPr>
        <w:t xml:space="preserve">bis zum 25.06.2026 </w:t>
      </w:r>
      <w:r w:rsidRPr="00AA25EC">
        <w:rPr>
          <w:rFonts w:ascii="Arial" w:hAnsi="Arial" w:cs="Arial"/>
          <w:b/>
          <w:bCs/>
        </w:rPr>
        <w:t>direkt über die Beteiligungsplattform eingebracht werden:</w:t>
      </w:r>
    </w:p>
    <w:p w14:paraId="39C96EA2" w14:textId="77777777" w:rsidR="00AA25EC" w:rsidRPr="00AA25EC" w:rsidRDefault="00AA25EC" w:rsidP="00AA25EC">
      <w:pPr>
        <w:rPr>
          <w:rFonts w:ascii="Arial" w:hAnsi="Arial" w:cs="Arial"/>
          <w:b/>
          <w:bCs/>
        </w:rPr>
      </w:pPr>
      <w:r w:rsidRPr="00AA25EC">
        <w:rPr>
          <w:noProof/>
        </w:rPr>
        <mc:AlternateContent>
          <mc:Choice Requires="wps">
            <w:drawing>
              <wp:anchor distT="0" distB="0" distL="114300" distR="114300" simplePos="0" relativeHeight="251659264" behindDoc="0" locked="0" layoutInCell="1" allowOverlap="1" wp14:anchorId="2FFA0CB9" wp14:editId="26C6F0FF">
                <wp:simplePos x="0" y="0"/>
                <wp:positionH relativeFrom="margin">
                  <wp:align>left</wp:align>
                </wp:positionH>
                <wp:positionV relativeFrom="paragraph">
                  <wp:posOffset>285115</wp:posOffset>
                </wp:positionV>
                <wp:extent cx="279400" cy="336550"/>
                <wp:effectExtent l="0" t="0" r="0" b="6350"/>
                <wp:wrapSquare wrapText="bothSides"/>
                <wp:docPr id="551123481" name="Textfeld 1"/>
                <wp:cNvGraphicFramePr/>
                <a:graphic xmlns:a="http://schemas.openxmlformats.org/drawingml/2006/main">
                  <a:graphicData uri="http://schemas.microsoft.com/office/word/2010/wordprocessingShape">
                    <wps:wsp>
                      <wps:cNvSpPr txBox="1"/>
                      <wps:spPr>
                        <a:xfrm>
                          <a:off x="0" y="0"/>
                          <a:ext cx="279400" cy="336550"/>
                        </a:xfrm>
                        <a:prstGeom prst="rect">
                          <a:avLst/>
                        </a:prstGeom>
                        <a:noFill/>
                        <a:ln w="6350">
                          <a:noFill/>
                        </a:ln>
                      </wps:spPr>
                      <wps:txbx>
                        <w:txbxContent>
                          <w:p w14:paraId="78CC7739" w14:textId="77777777" w:rsidR="00AA25EC" w:rsidRPr="00190977" w:rsidRDefault="00AA25EC" w:rsidP="00AA25EC">
                            <w:pPr>
                              <w:rPr>
                                <w:rFonts w:ascii="Arial" w:hAnsi="Arial" w:cs="Arial"/>
                                <w:sz w:val="40"/>
                                <w:szCs w:val="40"/>
                              </w:rPr>
                            </w:pPr>
                            <w:r w:rsidRPr="00190977">
                              <w:rPr>
                                <w:rFonts w:ascii="Arial" w:hAnsi="Arial" w:cs="Arial"/>
                                <w:sz w:val="40"/>
                                <w:szCs w:val="40"/>
                              </w:rPr>
                              <w:sym w:font="Wingdings" w:char="F043"/>
                            </w:r>
                            <w:r w:rsidRPr="00190977">
                              <w:rPr>
                                <w:rFonts w:ascii="Arial" w:hAnsi="Arial" w:cs="Arial"/>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A0CB9" id="_x0000_t202" coordsize="21600,21600" o:spt="202" path="m,l,21600r21600,l21600,xe">
                <v:stroke joinstyle="miter"/>
                <v:path gradientshapeok="t" o:connecttype="rect"/>
              </v:shapetype>
              <v:shape id="Textfeld 1" o:spid="_x0000_s1026" type="#_x0000_t202" style="position:absolute;margin-left:0;margin-top:22.45pt;width:2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" filled="f" stroked="f" strokeweight=".5pt">
                <v:textbox>
                  <w:txbxContent>
                    <w:p w14:paraId="78CC7739" w14:textId="77777777" w:rsidR="00AA25EC" w:rsidRPr="00190977" w:rsidRDefault="00AA25EC" w:rsidP="00AA25EC">
                      <w:pPr>
                        <w:rPr>
                          <w:rFonts w:ascii="Arial" w:hAnsi="Arial" w:cs="Arial"/>
                          <w:sz w:val="40"/>
                          <w:szCs w:val="40"/>
                        </w:rPr>
                      </w:pPr>
                      <w:r w:rsidRPr="00190977">
                        <w:rPr>
                          <w:rFonts w:ascii="Arial" w:hAnsi="Arial" w:cs="Arial"/>
                          <w:sz w:val="40"/>
                          <w:szCs w:val="40"/>
                        </w:rPr>
                        <w:sym w:font="Wingdings" w:char="F043"/>
                      </w:r>
                      <w:r w:rsidRPr="00190977">
                        <w:rPr>
                          <w:rFonts w:ascii="Arial" w:hAnsi="Arial" w:cs="Arial"/>
                          <w:sz w:val="40"/>
                          <w:szCs w:val="40"/>
                        </w:rPr>
                        <w:t xml:space="preserve"> </w:t>
                      </w:r>
                    </w:p>
                  </w:txbxContent>
                </v:textbox>
                <w10:wrap type="square" anchorx="margin"/>
              </v:shape>
            </w:pict>
          </mc:Fallback>
        </mc:AlternateContent>
      </w:r>
      <w:hyperlink r:id="rId7" w:history="1">
        <w:r w:rsidRPr="00AA25EC">
          <w:rPr>
            <w:rFonts w:ascii="Arial" w:hAnsi="Arial" w:cs="Arial"/>
            <w:b/>
            <w:bCs/>
            <w:color w:val="467886" w:themeColor="hyperlink"/>
            <w:u w:val="single"/>
          </w:rPr>
          <w:t>https://beteiligung.bundesumweltministerium.de/de/nationaler-wiederherstellungsplan</w:t>
        </w:r>
      </w:hyperlink>
    </w:p>
    <w:p w14:paraId="7FA5FC89" w14:textId="77777777" w:rsidR="00AA25EC" w:rsidRPr="00AA25EC" w:rsidRDefault="00AA25EC" w:rsidP="00AA25EC">
      <w:pPr>
        <w:rPr>
          <w:rFonts w:ascii="Arial" w:hAnsi="Arial" w:cs="Arial"/>
        </w:rPr>
      </w:pPr>
      <w:r w:rsidRPr="00AA25EC">
        <w:rPr>
          <w:rFonts w:ascii="Arial" w:hAnsi="Arial" w:cs="Arial"/>
        </w:rPr>
        <w:t xml:space="preserve">Auf der Online-Plattform finden Sie auch ein Video, in dem der Aufbau der Seite und die Möglichkeit der Stellungnahme beschrieben ist. </w:t>
      </w:r>
    </w:p>
    <w:p w14:paraId="1DD6231C" w14:textId="77777777" w:rsidR="00AA25EC" w:rsidRPr="00AA25EC" w:rsidRDefault="00AA25EC" w:rsidP="00AA25EC">
      <w:pPr>
        <w:keepNext/>
        <w:keepLines/>
        <w:spacing w:before="160" w:after="80"/>
        <w:outlineLvl w:val="1"/>
        <w:rPr>
          <w:rFonts w:ascii="Arial" w:eastAsiaTheme="majorEastAsia" w:hAnsi="Arial" w:cs="Arial"/>
          <w:color w:val="0F4761" w:themeColor="accent1" w:themeShade="BF"/>
          <w:sz w:val="28"/>
          <w:szCs w:val="32"/>
        </w:rPr>
      </w:pPr>
      <w:r w:rsidRPr="00AA25EC">
        <w:rPr>
          <w:rFonts w:ascii="Arial" w:eastAsiaTheme="majorEastAsia" w:hAnsi="Arial" w:cs="Arial"/>
          <w:color w:val="0F4761" w:themeColor="accent1" w:themeShade="BF"/>
          <w:sz w:val="28"/>
          <w:szCs w:val="32"/>
        </w:rPr>
        <w:t xml:space="preserve">Online-Plattform zum Nationalen Wiederherstellungsplan </w:t>
      </w:r>
    </w:p>
    <w:p w14:paraId="3B0DAF15" w14:textId="77777777" w:rsidR="00AA25EC" w:rsidRPr="00AA25EC" w:rsidRDefault="00AA25EC" w:rsidP="00AA25EC">
      <w:pPr>
        <w:rPr>
          <w:rFonts w:ascii="Arial" w:hAnsi="Arial" w:cs="Arial"/>
        </w:rPr>
      </w:pPr>
      <w:r w:rsidRPr="00AA25EC">
        <w:rPr>
          <w:rFonts w:ascii="Arial" w:hAnsi="Arial" w:cs="Arial"/>
          <w:noProof/>
        </w:rPr>
        <w:drawing>
          <wp:inline distT="0" distB="0" distL="0" distR="0" wp14:anchorId="39182DAB" wp14:editId="6F9CDA73">
            <wp:extent cx="4381500" cy="2465337"/>
            <wp:effectExtent l="0" t="0" r="0" b="0"/>
            <wp:docPr id="19043097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0628" cy="2504233"/>
                    </a:xfrm>
                    <a:prstGeom prst="rect">
                      <a:avLst/>
                    </a:prstGeom>
                    <a:noFill/>
                  </pic:spPr>
                </pic:pic>
              </a:graphicData>
            </a:graphic>
          </wp:inline>
        </w:drawing>
      </w:r>
    </w:p>
    <w:p w14:paraId="17027E2A" w14:textId="77777777" w:rsidR="00AA25EC" w:rsidRPr="00AA25EC" w:rsidRDefault="00AA25EC" w:rsidP="00AA25EC">
      <w:pPr>
        <w:rPr>
          <w:rFonts w:ascii="Arial" w:hAnsi="Arial" w:cs="Arial"/>
        </w:rPr>
      </w:pPr>
      <w:r w:rsidRPr="00AA25EC">
        <w:rPr>
          <w:rFonts w:ascii="Arial" w:hAnsi="Arial" w:cs="Arial"/>
        </w:rPr>
        <w:t xml:space="preserve">Die Plattform ist in vier Unterpunkte gegliedert. </w:t>
      </w:r>
    </w:p>
    <w:p w14:paraId="55AEDA50" w14:textId="77777777" w:rsidR="00AA25EC" w:rsidRDefault="00AA25EC" w:rsidP="00AA25EC">
      <w:pPr>
        <w:rPr>
          <w:rFonts w:ascii="Arial" w:hAnsi="Arial" w:cs="Arial"/>
        </w:rPr>
      </w:pPr>
      <w:r w:rsidRPr="00AA25EC">
        <w:rPr>
          <w:rFonts w:ascii="Arial" w:hAnsi="Arial" w:cs="Arial"/>
        </w:rPr>
        <w:t>In den Hinweisen zum Beteiligungsverfahren finden Sie ausschließlich Erläuterungen und organisatorische Hinweise. Die Bereiche Zielunabhängige Angaben, Übergeordnete Maßnahmen und Artikel der Wiederherstellungsverordnung enthalten die eigentlichen Inhalte des NWP. Sie sind wiederum in zahlreiche Unterpunkte gegliedert.</w:t>
      </w:r>
    </w:p>
    <w:p w14:paraId="607902ED" w14:textId="77777777" w:rsidR="00AA25EC" w:rsidRDefault="00AA25EC" w:rsidP="00AA25EC">
      <w:pPr>
        <w:rPr>
          <w:rFonts w:ascii="Arial" w:hAnsi="Arial" w:cs="Arial"/>
        </w:rPr>
      </w:pPr>
    </w:p>
    <w:p w14:paraId="3F156C74" w14:textId="627B052F" w:rsidR="00AA25EC" w:rsidRPr="00AA25EC" w:rsidRDefault="00AA25EC" w:rsidP="00AA25EC">
      <w:pPr>
        <w:rPr>
          <w:rFonts w:ascii="Arial" w:hAnsi="Arial" w:cs="Arial"/>
        </w:rPr>
      </w:pPr>
      <w:r>
        <w:rPr>
          <w:rFonts w:ascii="Arial" w:hAnsi="Arial" w:cs="Arial"/>
        </w:rPr>
        <w:t>Unsere Textbausteine gliedern sich in allgemeine Punkte sowie allgemeine und spezifische Punkte zu den jeweiligen Artikeln.</w:t>
      </w:r>
    </w:p>
    <w:p w14:paraId="21ED910B" w14:textId="7333F180" w:rsidR="004A5034" w:rsidRPr="00CD5C94" w:rsidRDefault="004A5034" w:rsidP="00CD5C94">
      <w:pPr>
        <w:tabs>
          <w:tab w:val="num" w:pos="720"/>
        </w:tabs>
        <w:rPr>
          <w:rFonts w:ascii="Arial" w:hAnsi="Arial" w:cs="Arial"/>
        </w:rPr>
      </w:pPr>
      <w:r w:rsidRPr="00CD5C94">
        <w:rPr>
          <w:rFonts w:ascii="Arial" w:hAnsi="Arial" w:cs="Arial"/>
        </w:rPr>
        <w:br w:type="page"/>
      </w:r>
    </w:p>
    <w:p w14:paraId="70EF70CB" w14:textId="632A86A1" w:rsidR="009346C0" w:rsidRPr="00CD5C94" w:rsidRDefault="001A13F7" w:rsidP="004A5034">
      <w:pPr>
        <w:pStyle w:val="berschrift1"/>
        <w:rPr>
          <w:rFonts w:ascii="Arial" w:hAnsi="Arial" w:cs="Arial"/>
        </w:rPr>
      </w:pPr>
      <w:r>
        <w:rPr>
          <w:rFonts w:ascii="Arial" w:hAnsi="Arial" w:cs="Arial"/>
        </w:rPr>
        <w:lastRenderedPageBreak/>
        <w:t xml:space="preserve">Allgemeine </w:t>
      </w:r>
      <w:r w:rsidR="00C608C9">
        <w:rPr>
          <w:rFonts w:ascii="Arial" w:hAnsi="Arial" w:cs="Arial"/>
        </w:rPr>
        <w:t>Anmerkungen</w:t>
      </w:r>
    </w:p>
    <w:p w14:paraId="1E0CCDD3" w14:textId="07C45348" w:rsidR="008F7162" w:rsidRPr="00CD5C94" w:rsidRDefault="008F7162" w:rsidP="008F7162">
      <w:pPr>
        <w:pStyle w:val="berschrift2"/>
        <w:rPr>
          <w:rFonts w:ascii="Arial" w:hAnsi="Arial" w:cs="Arial"/>
        </w:rPr>
      </w:pPr>
      <w:r w:rsidRPr="00CD5C94">
        <w:rPr>
          <w:rFonts w:ascii="Arial" w:hAnsi="Arial" w:cs="Arial"/>
        </w:rPr>
        <w:t>Freiwilligkeit und Planungssicherheit</w:t>
      </w:r>
    </w:p>
    <w:p w14:paraId="60442B14" w14:textId="71B7496C" w:rsidR="0051709A" w:rsidRPr="00CD5C94" w:rsidRDefault="0051709A" w:rsidP="0051709A">
      <w:pPr>
        <w:rPr>
          <w:rFonts w:ascii="Arial" w:hAnsi="Arial" w:cs="Arial"/>
        </w:rPr>
      </w:pPr>
      <w:r w:rsidRPr="00CD5C94">
        <w:rPr>
          <w:rFonts w:ascii="Arial" w:hAnsi="Arial" w:cs="Arial"/>
        </w:rPr>
        <w:t xml:space="preserve">Grundeigentümer benötigen klare Rechts- und Planungssicherheit. Der aktuelle NWP bleibt unkonkret und enthält </w:t>
      </w:r>
      <w:r w:rsidR="005F50FC">
        <w:rPr>
          <w:rFonts w:ascii="Arial" w:hAnsi="Arial" w:cs="Arial"/>
        </w:rPr>
        <w:t>in der aktuellen Fassung kaum</w:t>
      </w:r>
      <w:r w:rsidRPr="00CD5C94">
        <w:rPr>
          <w:rFonts w:ascii="Arial" w:hAnsi="Arial" w:cs="Arial"/>
        </w:rPr>
        <w:t xml:space="preserve"> Aussagen dazu, welche Verpflichtungen oder Einschränkungen künftig auf Grundeigentümer und Bewirtschafter zukommen könnten.</w:t>
      </w:r>
    </w:p>
    <w:p w14:paraId="06ECB215" w14:textId="4E8D8334" w:rsidR="0051709A" w:rsidRDefault="008F7162" w:rsidP="0051709A">
      <w:pPr>
        <w:rPr>
          <w:rFonts w:ascii="Arial" w:hAnsi="Arial" w:cs="Arial"/>
        </w:rPr>
      </w:pPr>
      <w:r w:rsidRPr="00CD5C94">
        <w:rPr>
          <w:rFonts w:ascii="Arial" w:hAnsi="Arial" w:cs="Arial"/>
        </w:rPr>
        <w:t xml:space="preserve">Die angekündigte Freiwilligkeit muss dauerhaft </w:t>
      </w:r>
      <w:r w:rsidR="00C608C9">
        <w:rPr>
          <w:rFonts w:ascii="Arial" w:hAnsi="Arial" w:cs="Arial"/>
        </w:rPr>
        <w:t>und im NWP rechtssicher umgesetzt werden</w:t>
      </w:r>
      <w:r w:rsidRPr="00CD5C94">
        <w:rPr>
          <w:rFonts w:ascii="Arial" w:hAnsi="Arial" w:cs="Arial"/>
        </w:rPr>
        <w:t>.</w:t>
      </w:r>
      <w:r w:rsidR="00C608C9">
        <w:rPr>
          <w:rFonts w:ascii="Arial" w:hAnsi="Arial" w:cs="Arial"/>
        </w:rPr>
        <w:t xml:space="preserve"> Dies sieht der NWP derzeit nicht vor. </w:t>
      </w:r>
      <w:r w:rsidR="0051709A">
        <w:rPr>
          <w:rFonts w:ascii="Arial" w:hAnsi="Arial" w:cs="Arial"/>
        </w:rPr>
        <w:t xml:space="preserve">Die Freiwilligkeit und die finanzielle Förderung ist lediglich als vorrangige </w:t>
      </w:r>
      <w:r w:rsidR="005F50FC">
        <w:rPr>
          <w:rFonts w:ascii="Arial" w:hAnsi="Arial" w:cs="Arial"/>
        </w:rPr>
        <w:t>S</w:t>
      </w:r>
      <w:r w:rsidR="0051709A">
        <w:rPr>
          <w:rFonts w:ascii="Arial" w:hAnsi="Arial" w:cs="Arial"/>
        </w:rPr>
        <w:t xml:space="preserve">oll-Vorschrift aufgeführt. Dieses ist als </w:t>
      </w:r>
      <w:r w:rsidR="005F50FC">
        <w:rPr>
          <w:rFonts w:ascii="Arial" w:hAnsi="Arial" w:cs="Arial"/>
        </w:rPr>
        <w:t>M</w:t>
      </w:r>
      <w:r w:rsidR="0051709A">
        <w:rPr>
          <w:rFonts w:ascii="Arial" w:hAnsi="Arial" w:cs="Arial"/>
        </w:rPr>
        <w:t>uss-Vorschrift rechtssicher umzusetzen.</w:t>
      </w:r>
      <w:r w:rsidR="0051709A" w:rsidRPr="0051709A">
        <w:rPr>
          <w:rFonts w:ascii="Arial" w:hAnsi="Arial" w:cs="Arial"/>
        </w:rPr>
        <w:t xml:space="preserve"> </w:t>
      </w:r>
      <w:r w:rsidR="0051709A">
        <w:rPr>
          <w:rFonts w:ascii="Arial" w:hAnsi="Arial" w:cs="Arial"/>
        </w:rPr>
        <w:t xml:space="preserve">Ist eine Maßnahme </w:t>
      </w:r>
      <w:r w:rsidR="005F50FC">
        <w:rPr>
          <w:rFonts w:ascii="Arial" w:hAnsi="Arial" w:cs="Arial"/>
        </w:rPr>
        <w:t xml:space="preserve">aber </w:t>
      </w:r>
      <w:r w:rsidR="0051709A">
        <w:rPr>
          <w:rFonts w:ascii="Arial" w:hAnsi="Arial" w:cs="Arial"/>
        </w:rPr>
        <w:t xml:space="preserve">rechtsverbindlich vorgesehen, ist diese nach dem Beihilferecht </w:t>
      </w:r>
      <w:r w:rsidR="005F50FC">
        <w:rPr>
          <w:rFonts w:ascii="Arial" w:hAnsi="Arial" w:cs="Arial"/>
        </w:rPr>
        <w:t xml:space="preserve">im Allgemeinen </w:t>
      </w:r>
      <w:r w:rsidR="0051709A">
        <w:rPr>
          <w:rFonts w:ascii="Arial" w:hAnsi="Arial" w:cs="Arial"/>
        </w:rPr>
        <w:t xml:space="preserve">nicht förderfähig. </w:t>
      </w:r>
      <w:r w:rsidR="005F50FC">
        <w:rPr>
          <w:rFonts w:ascii="Arial" w:hAnsi="Arial" w:cs="Arial"/>
        </w:rPr>
        <w:t>Hier bedarf es einer Anpassung des Beihilferechts.</w:t>
      </w:r>
    </w:p>
    <w:p w14:paraId="4D15A90C" w14:textId="6CE3168C" w:rsidR="0051709A" w:rsidRPr="0035472E" w:rsidRDefault="0051709A" w:rsidP="0051709A">
      <w:pPr>
        <w:pStyle w:val="berschrift3"/>
        <w:rPr>
          <w:rFonts w:ascii="Arial" w:hAnsi="Arial" w:cs="Arial"/>
        </w:rPr>
      </w:pPr>
      <w:r w:rsidRPr="0035472E">
        <w:rPr>
          <w:rFonts w:ascii="Arial" w:hAnsi="Arial" w:cs="Arial"/>
        </w:rPr>
        <w:t>Einschränkungen des Eigentums verhindern</w:t>
      </w:r>
    </w:p>
    <w:p w14:paraId="1E8FB31C" w14:textId="43701D8C" w:rsidR="0051709A" w:rsidRDefault="0051709A" w:rsidP="0051709A">
      <w:pPr>
        <w:rPr>
          <w:rFonts w:ascii="Arial" w:hAnsi="Arial" w:cs="Arial"/>
        </w:rPr>
      </w:pPr>
      <w:r>
        <w:rPr>
          <w:rFonts w:ascii="Arial" w:hAnsi="Arial" w:cs="Arial"/>
        </w:rPr>
        <w:t xml:space="preserve">Wiederherstellungsmaßnahmen sollen möglichst eng mit dem Flächenbewirtschaftenden und Flächeneigentümern abgestimmt werden. </w:t>
      </w:r>
      <w:r w:rsidR="005F50FC">
        <w:rPr>
          <w:rFonts w:ascii="Arial" w:hAnsi="Arial" w:cs="Arial"/>
        </w:rPr>
        <w:t>Sollte es zu einem</w:t>
      </w:r>
      <w:r>
        <w:rPr>
          <w:rFonts w:ascii="Arial" w:hAnsi="Arial" w:cs="Arial"/>
        </w:rPr>
        <w:t xml:space="preserve"> Eingriff in das Eigentum </w:t>
      </w:r>
      <w:r w:rsidR="005F50FC">
        <w:rPr>
          <w:rFonts w:ascii="Arial" w:hAnsi="Arial" w:cs="Arial"/>
        </w:rPr>
        <w:t>kommen, ist dies entsprechend zu entschädigen</w:t>
      </w:r>
      <w:r>
        <w:rPr>
          <w:rFonts w:ascii="Arial" w:hAnsi="Arial" w:cs="Arial"/>
        </w:rPr>
        <w:t xml:space="preserve">. </w:t>
      </w:r>
      <w:r w:rsidR="005F50FC">
        <w:rPr>
          <w:rFonts w:ascii="Arial" w:hAnsi="Arial" w:cs="Arial"/>
        </w:rPr>
        <w:t>Auf den Grundsatz der Freiwilligkeit ist zu achten.</w:t>
      </w:r>
    </w:p>
    <w:p w14:paraId="0EA06CF0" w14:textId="14C2FF11" w:rsidR="008F7162" w:rsidRPr="00CD5C94" w:rsidRDefault="008F7162" w:rsidP="008F7162">
      <w:pPr>
        <w:pStyle w:val="berschrift2"/>
        <w:rPr>
          <w:rFonts w:ascii="Arial" w:hAnsi="Arial" w:cs="Arial"/>
        </w:rPr>
      </w:pPr>
      <w:r w:rsidRPr="00CD5C94">
        <w:rPr>
          <w:rFonts w:ascii="Arial" w:hAnsi="Arial" w:cs="Arial"/>
        </w:rPr>
        <w:t>Finanzierung sicherstellen</w:t>
      </w:r>
    </w:p>
    <w:p w14:paraId="3B7FE491" w14:textId="77777777" w:rsidR="008F7162" w:rsidRDefault="008F7162" w:rsidP="008F7162">
      <w:pPr>
        <w:rPr>
          <w:rFonts w:ascii="Arial" w:hAnsi="Arial" w:cs="Arial"/>
        </w:rPr>
      </w:pPr>
      <w:r w:rsidRPr="00CD5C94">
        <w:rPr>
          <w:rFonts w:ascii="Arial" w:hAnsi="Arial" w:cs="Arial"/>
        </w:rPr>
        <w:t>Die Umsetzung der Wiederherstellungsziele darf nicht ohne gesicherte Finanzierung erfolgen. Bereits heute besteht eine erhebliche Finanzierungslücke bei bestehenden Förderprogrammen. Zusätzliche Anforderungen an Waldbesitzende können nur auf freiwilliger Basis und mit dauerhaft verlässlicher Finanzierung umgesetzt werden.</w:t>
      </w:r>
    </w:p>
    <w:p w14:paraId="34705D0D" w14:textId="17BFDBD6" w:rsidR="008F7162" w:rsidRPr="00CD5C94" w:rsidRDefault="008F7162" w:rsidP="008F7162">
      <w:pPr>
        <w:pStyle w:val="berschrift2"/>
        <w:rPr>
          <w:rFonts w:ascii="Arial" w:hAnsi="Arial" w:cs="Arial"/>
        </w:rPr>
      </w:pPr>
      <w:r w:rsidRPr="00CD5C94">
        <w:rPr>
          <w:rFonts w:ascii="Arial" w:hAnsi="Arial" w:cs="Arial"/>
        </w:rPr>
        <w:t>Freiwillige Maßnahmen dürfen nicht zu Verpflichtungen werden</w:t>
      </w:r>
    </w:p>
    <w:p w14:paraId="55AE9569" w14:textId="745DA419" w:rsidR="008F7162" w:rsidRPr="00CD5C94" w:rsidRDefault="008F7162" w:rsidP="008F7162">
      <w:pPr>
        <w:rPr>
          <w:rFonts w:ascii="Arial" w:hAnsi="Arial" w:cs="Arial"/>
        </w:rPr>
      </w:pPr>
      <w:r w:rsidRPr="00CD5C94">
        <w:rPr>
          <w:rFonts w:ascii="Arial" w:hAnsi="Arial" w:cs="Arial"/>
        </w:rPr>
        <w:t>Freiwillige Fördermaßnahmen dürfen nicht nachträglich als dauerhafte Wiederherstellungsmaßnahmen gewertet werden. Insbesondere die Teilnahme an bestehenden Programmen darf nicht zu langfristigen flächenbezogenen Verpflichtungen oder zusätzlichen Einschränkungen führen.</w:t>
      </w:r>
    </w:p>
    <w:p w14:paraId="25A6C73F" w14:textId="36615E1C" w:rsidR="008F7162" w:rsidRPr="00CD5C94" w:rsidRDefault="008F7162" w:rsidP="008F7162">
      <w:pPr>
        <w:pStyle w:val="berschrift2"/>
        <w:rPr>
          <w:rFonts w:ascii="Arial" w:hAnsi="Arial" w:cs="Arial"/>
        </w:rPr>
      </w:pPr>
      <w:r w:rsidRPr="00CD5C94">
        <w:rPr>
          <w:rFonts w:ascii="Arial" w:hAnsi="Arial" w:cs="Arial"/>
        </w:rPr>
        <w:t>Klimaanpassung stärker berücksichtigen</w:t>
      </w:r>
    </w:p>
    <w:p w14:paraId="0A367729" w14:textId="014BC051" w:rsidR="008F7162" w:rsidRPr="00CD5C94" w:rsidRDefault="008F7162" w:rsidP="008F7162">
      <w:pPr>
        <w:rPr>
          <w:rFonts w:ascii="Arial" w:hAnsi="Arial" w:cs="Arial"/>
        </w:rPr>
      </w:pPr>
      <w:r w:rsidRPr="00CD5C94">
        <w:rPr>
          <w:rFonts w:ascii="Arial" w:hAnsi="Arial" w:cs="Arial"/>
        </w:rPr>
        <w:t xml:space="preserve">Der NWP muss stärker auf Klimaanpassung und stabile, zukunftsfähige Wälder ausgerichtet werden. Vorrangig </w:t>
      </w:r>
      <w:r w:rsidR="001A13F7">
        <w:rPr>
          <w:rFonts w:ascii="Arial" w:hAnsi="Arial" w:cs="Arial"/>
        </w:rPr>
        <w:t>muss</w:t>
      </w:r>
      <w:r w:rsidRPr="00CD5C94">
        <w:rPr>
          <w:rFonts w:ascii="Arial" w:hAnsi="Arial" w:cs="Arial"/>
        </w:rPr>
        <w:t xml:space="preserve"> der Umbau </w:t>
      </w:r>
      <w:r w:rsidR="001A13F7">
        <w:rPr>
          <w:rFonts w:ascii="Arial" w:hAnsi="Arial" w:cs="Arial"/>
        </w:rPr>
        <w:t>in resiliente Mischwälder</w:t>
      </w:r>
      <w:r w:rsidRPr="00CD5C94">
        <w:rPr>
          <w:rFonts w:ascii="Arial" w:hAnsi="Arial" w:cs="Arial"/>
        </w:rPr>
        <w:t xml:space="preserve"> und die standortsgerechte Wiederbewaldung nach Schadereignissen unterstützt werden. Starre Zielbilder </w:t>
      </w:r>
      <w:r w:rsidR="00515B06">
        <w:rPr>
          <w:rFonts w:ascii="Arial" w:hAnsi="Arial" w:cs="Arial"/>
        </w:rPr>
        <w:t>(</w:t>
      </w:r>
      <w:r w:rsidRPr="00CD5C94">
        <w:rPr>
          <w:rFonts w:ascii="Arial" w:hAnsi="Arial" w:cs="Arial"/>
        </w:rPr>
        <w:t>historischer</w:t>
      </w:r>
      <w:r w:rsidR="00515B06">
        <w:rPr>
          <w:rFonts w:ascii="Arial" w:hAnsi="Arial" w:cs="Arial"/>
        </w:rPr>
        <w:t>)</w:t>
      </w:r>
      <w:r w:rsidRPr="00CD5C94">
        <w:rPr>
          <w:rFonts w:ascii="Arial" w:hAnsi="Arial" w:cs="Arial"/>
        </w:rPr>
        <w:t xml:space="preserve"> Lebensraumtypen werden den dynamischen Entwicklungen des Klimawandels nicht gerecht.</w:t>
      </w:r>
    </w:p>
    <w:p w14:paraId="66860701" w14:textId="506428F2" w:rsidR="008F7162" w:rsidRPr="00CD5C94" w:rsidRDefault="008F7162" w:rsidP="008F7162">
      <w:pPr>
        <w:pStyle w:val="berschrift2"/>
        <w:rPr>
          <w:rFonts w:ascii="Arial" w:hAnsi="Arial" w:cs="Arial"/>
        </w:rPr>
      </w:pPr>
      <w:r w:rsidRPr="00CD5C94">
        <w:rPr>
          <w:rFonts w:ascii="Arial" w:hAnsi="Arial" w:cs="Arial"/>
        </w:rPr>
        <w:t>Zielkonflikte zwischen Wiederherstellung und Waldumbau</w:t>
      </w:r>
    </w:p>
    <w:p w14:paraId="3EC7AA86" w14:textId="314D8CFC" w:rsidR="008F7162" w:rsidRPr="00CD5C94" w:rsidRDefault="008F7162" w:rsidP="008F7162">
      <w:pPr>
        <w:rPr>
          <w:rFonts w:ascii="Arial" w:hAnsi="Arial" w:cs="Arial"/>
        </w:rPr>
      </w:pPr>
      <w:r w:rsidRPr="00CD5C94">
        <w:rPr>
          <w:rFonts w:ascii="Arial" w:hAnsi="Arial" w:cs="Arial"/>
        </w:rPr>
        <w:t xml:space="preserve">Zwischen Wiederherstellungszielen, </w:t>
      </w:r>
      <w:r w:rsidR="001A13F7">
        <w:rPr>
          <w:rFonts w:ascii="Arial" w:hAnsi="Arial" w:cs="Arial"/>
        </w:rPr>
        <w:t>Nichtverschlechterungsanforderungen</w:t>
      </w:r>
      <w:r w:rsidRPr="00CD5C94">
        <w:rPr>
          <w:rFonts w:ascii="Arial" w:hAnsi="Arial" w:cs="Arial"/>
        </w:rPr>
        <w:t xml:space="preserve"> und </w:t>
      </w:r>
      <w:r w:rsidR="001A13F7">
        <w:rPr>
          <w:rFonts w:ascii="Arial" w:hAnsi="Arial" w:cs="Arial"/>
        </w:rPr>
        <w:t xml:space="preserve">dem </w:t>
      </w:r>
      <w:r w:rsidRPr="00CD5C94">
        <w:rPr>
          <w:rFonts w:ascii="Arial" w:hAnsi="Arial" w:cs="Arial"/>
        </w:rPr>
        <w:t xml:space="preserve">notwendigem Waldumbau </w:t>
      </w:r>
      <w:r w:rsidR="005F50FC">
        <w:rPr>
          <w:rFonts w:ascii="Arial" w:hAnsi="Arial" w:cs="Arial"/>
        </w:rPr>
        <w:t xml:space="preserve">können </w:t>
      </w:r>
      <w:r w:rsidRPr="00CD5C94">
        <w:rPr>
          <w:rFonts w:ascii="Arial" w:hAnsi="Arial" w:cs="Arial"/>
        </w:rPr>
        <w:t>erhebliche Zielkonflikte</w:t>
      </w:r>
      <w:r w:rsidR="005F50FC" w:rsidRPr="005F50FC">
        <w:rPr>
          <w:rFonts w:ascii="Arial" w:hAnsi="Arial" w:cs="Arial"/>
        </w:rPr>
        <w:t xml:space="preserve"> </w:t>
      </w:r>
      <w:r w:rsidR="005F50FC" w:rsidRPr="00CD5C94">
        <w:rPr>
          <w:rFonts w:ascii="Arial" w:hAnsi="Arial" w:cs="Arial"/>
        </w:rPr>
        <w:t>bestehen</w:t>
      </w:r>
      <w:r w:rsidRPr="00CD5C94">
        <w:rPr>
          <w:rFonts w:ascii="Arial" w:hAnsi="Arial" w:cs="Arial"/>
        </w:rPr>
        <w:t xml:space="preserve">. </w:t>
      </w:r>
      <w:r w:rsidR="001A13F7">
        <w:rPr>
          <w:rFonts w:ascii="Arial" w:hAnsi="Arial" w:cs="Arial"/>
        </w:rPr>
        <w:t xml:space="preserve">Dies gilt insbesondere für Artikel 4, der sich an Lebensraumtypen und Arthabitaten orientiert. </w:t>
      </w:r>
      <w:r w:rsidRPr="00CD5C94">
        <w:rPr>
          <w:rFonts w:ascii="Arial" w:hAnsi="Arial" w:cs="Arial"/>
        </w:rPr>
        <w:t>Waldbesitzende brauchen die Möglichkeit, Bestände aktiv an den Klimawandel anzupassen, ohne zusätzliche rechtliche Unsicherheiten oder Einschränkungen befürchten zu müssen.</w:t>
      </w:r>
      <w:r w:rsidR="001A13F7">
        <w:rPr>
          <w:rFonts w:ascii="Arial" w:hAnsi="Arial" w:cs="Arial"/>
        </w:rPr>
        <w:t xml:space="preserve"> Es darf keine Verpflichtung geben, bestehende Anpassungsmaßnahmen „rückabzuwickeln“. </w:t>
      </w:r>
    </w:p>
    <w:p w14:paraId="2289707A" w14:textId="77777777" w:rsidR="00066F99" w:rsidRDefault="00066F99" w:rsidP="0051709A">
      <w:pPr>
        <w:pStyle w:val="berschrift2"/>
        <w:rPr>
          <w:rFonts w:ascii="Arial" w:hAnsi="Arial" w:cs="Arial"/>
        </w:rPr>
      </w:pPr>
    </w:p>
    <w:p w14:paraId="39BAAB9A" w14:textId="7B270220" w:rsidR="0051709A" w:rsidRPr="00CD5C94" w:rsidRDefault="0051709A" w:rsidP="0051709A">
      <w:pPr>
        <w:pStyle w:val="berschrift2"/>
        <w:rPr>
          <w:rFonts w:ascii="Arial" w:hAnsi="Arial" w:cs="Arial"/>
        </w:rPr>
      </w:pPr>
      <w:r w:rsidRPr="00CD5C94">
        <w:rPr>
          <w:rFonts w:ascii="Arial" w:hAnsi="Arial" w:cs="Arial"/>
        </w:rPr>
        <w:t>Lebensraumtypen kritisch prüfen</w:t>
      </w:r>
    </w:p>
    <w:p w14:paraId="495613E7" w14:textId="590EEDB0" w:rsidR="0051709A" w:rsidRPr="00CD5C94" w:rsidRDefault="0051709A" w:rsidP="0051709A">
      <w:pPr>
        <w:rPr>
          <w:rFonts w:ascii="Arial" w:hAnsi="Arial" w:cs="Arial"/>
        </w:rPr>
      </w:pPr>
      <w:r w:rsidRPr="00CD5C94">
        <w:rPr>
          <w:rFonts w:ascii="Arial" w:hAnsi="Arial" w:cs="Arial"/>
        </w:rPr>
        <w:t>Die Orientierung an Lebensraumtypen darf nicht losgelöst von den heutigen und künftigen Standortbedingungen erfolgen. Klimawandel und Standortsdrift verändern Wälder dauerhaft. Wiederherstellungsziele müssen deshalb dynamisch ausgestaltet werden und Raum für klimaresiliente Entwicklungen lassen.</w:t>
      </w:r>
      <w:r>
        <w:rPr>
          <w:rFonts w:ascii="Arial" w:hAnsi="Arial" w:cs="Arial"/>
        </w:rPr>
        <w:t xml:space="preserve"> Lebensraumtypen müssen neu und dynamisch aufgestellt und </w:t>
      </w:r>
      <w:r w:rsidR="003A7DF7">
        <w:rPr>
          <w:rFonts w:ascii="Arial" w:hAnsi="Arial" w:cs="Arial"/>
        </w:rPr>
        <w:t>weiter</w:t>
      </w:r>
      <w:r>
        <w:rPr>
          <w:rFonts w:ascii="Arial" w:hAnsi="Arial" w:cs="Arial"/>
        </w:rPr>
        <w:t>entwickelt werden</w:t>
      </w:r>
    </w:p>
    <w:p w14:paraId="06466069" w14:textId="77777777" w:rsidR="0051709A" w:rsidRPr="00CD5C94" w:rsidRDefault="0051709A" w:rsidP="0051709A">
      <w:pPr>
        <w:pStyle w:val="berschrift2"/>
        <w:rPr>
          <w:rFonts w:ascii="Arial" w:hAnsi="Arial" w:cs="Arial"/>
        </w:rPr>
      </w:pPr>
      <w:r>
        <w:rPr>
          <w:rFonts w:ascii="Arial" w:hAnsi="Arial" w:cs="Arial"/>
        </w:rPr>
        <w:t>Ordnungsgemäße Forstwirtschaft und Jagdbewirtschaftung darf nicht eingeschränkt werden</w:t>
      </w:r>
    </w:p>
    <w:p w14:paraId="54ED474D" w14:textId="11D54E1F" w:rsidR="0051709A" w:rsidRPr="00CD5C94" w:rsidRDefault="0051709A" w:rsidP="0051709A">
      <w:pPr>
        <w:rPr>
          <w:rFonts w:ascii="Arial" w:hAnsi="Arial" w:cs="Arial"/>
        </w:rPr>
      </w:pPr>
      <w:r>
        <w:rPr>
          <w:rFonts w:ascii="Arial" w:hAnsi="Arial" w:cs="Arial"/>
        </w:rPr>
        <w:t>Die ordnungsgemäße Forstwirtschaft und die hierfür notwendige Bejagung müssen weiterhin vollumfänglich möglich bleiben</w:t>
      </w:r>
      <w:r w:rsidR="0035472E">
        <w:rPr>
          <w:rFonts w:ascii="Arial" w:hAnsi="Arial" w:cs="Arial"/>
        </w:rPr>
        <w:t xml:space="preserve"> und darf durch Wiederherstellungsmaßnahmen nicht eingeschränkt werden</w:t>
      </w:r>
      <w:r>
        <w:rPr>
          <w:rFonts w:ascii="Arial" w:hAnsi="Arial" w:cs="Arial"/>
        </w:rPr>
        <w:t>. Eine Regelausnahme gemäß § 14 Abs. 2 i.V.m. § 5 BNatschG ist vorzusehen.</w:t>
      </w:r>
      <w:r w:rsidR="0035472E">
        <w:rPr>
          <w:rFonts w:ascii="Arial" w:hAnsi="Arial" w:cs="Arial"/>
        </w:rPr>
        <w:t xml:space="preserve"> Auch die notwendige Jagdbewirtschaftung ist in eine solche Regelausnahme aufzunehmen.</w:t>
      </w:r>
      <w:r w:rsidR="005F50FC">
        <w:rPr>
          <w:rFonts w:ascii="Arial" w:hAnsi="Arial" w:cs="Arial"/>
        </w:rPr>
        <w:t xml:space="preserve"> Dies gilt insbesondere für Artikel 4.</w:t>
      </w:r>
    </w:p>
    <w:p w14:paraId="0CE5A582" w14:textId="2D839E69" w:rsidR="008F7162" w:rsidRPr="00CD5C94" w:rsidRDefault="008F7162" w:rsidP="008F7162">
      <w:pPr>
        <w:pStyle w:val="berschrift2"/>
        <w:rPr>
          <w:rFonts w:ascii="Arial" w:hAnsi="Arial" w:cs="Arial"/>
        </w:rPr>
      </w:pPr>
      <w:r w:rsidRPr="00CD5C94">
        <w:rPr>
          <w:rFonts w:ascii="Arial" w:hAnsi="Arial" w:cs="Arial"/>
        </w:rPr>
        <w:t>Bürokratie und Monitoring begrenzen</w:t>
      </w:r>
    </w:p>
    <w:p w14:paraId="610B22FF" w14:textId="54FDEBA5" w:rsidR="008F7162" w:rsidRPr="00CD5C94" w:rsidRDefault="008F7162" w:rsidP="008F7162">
      <w:pPr>
        <w:rPr>
          <w:rFonts w:ascii="Arial" w:hAnsi="Arial" w:cs="Arial"/>
        </w:rPr>
      </w:pPr>
      <w:r w:rsidRPr="00CD5C94">
        <w:rPr>
          <w:rFonts w:ascii="Arial" w:hAnsi="Arial" w:cs="Arial"/>
        </w:rPr>
        <w:t>Die vorgesehenen Monitoring-, Berichts- und Dokumentationspflichten verursachen erheblichen bürokratischen</w:t>
      </w:r>
      <w:r w:rsidR="003A7DF7">
        <w:rPr>
          <w:rFonts w:ascii="Arial" w:hAnsi="Arial" w:cs="Arial"/>
        </w:rPr>
        <w:t xml:space="preserve"> und finanziellen</w:t>
      </w:r>
      <w:r w:rsidRPr="00CD5C94">
        <w:rPr>
          <w:rFonts w:ascii="Arial" w:hAnsi="Arial" w:cs="Arial"/>
        </w:rPr>
        <w:t xml:space="preserve"> Aufwand. Insbesondere eine flächendeckende Kartierung von Lebensraumtypen außerhalb bestehender Schutzgebiete wirft Fragen hinsichtlich Aufwand, Datennutzung und Rechtsfolgen für Grundeigentümer auf.</w:t>
      </w:r>
    </w:p>
    <w:p w14:paraId="034A8860" w14:textId="2D60FB76" w:rsidR="008F7162" w:rsidRPr="00CD5C94" w:rsidRDefault="008F7162" w:rsidP="008F7162">
      <w:pPr>
        <w:pStyle w:val="berschrift2"/>
        <w:rPr>
          <w:rFonts w:ascii="Arial" w:hAnsi="Arial" w:cs="Arial"/>
        </w:rPr>
      </w:pPr>
      <w:r w:rsidRPr="00CD5C94">
        <w:rPr>
          <w:rFonts w:ascii="Arial" w:hAnsi="Arial" w:cs="Arial"/>
        </w:rPr>
        <w:t>Beteiligungsverfahren verbessern</w:t>
      </w:r>
    </w:p>
    <w:p w14:paraId="5D5E8864" w14:textId="4DC4D43D" w:rsidR="008F7162" w:rsidRPr="00CD5C94" w:rsidRDefault="008F7162" w:rsidP="008F7162">
      <w:pPr>
        <w:rPr>
          <w:rFonts w:ascii="Arial" w:hAnsi="Arial" w:cs="Arial"/>
        </w:rPr>
      </w:pPr>
      <w:r w:rsidRPr="00CD5C94">
        <w:rPr>
          <w:rFonts w:ascii="Arial" w:hAnsi="Arial" w:cs="Arial"/>
        </w:rPr>
        <w:t>Das bisherige Beteiligungsverfahren wird dem Umfang und der Tragweite des NWP nicht gerecht. Viele Inhalte bleiben unklar</w:t>
      </w:r>
      <w:r w:rsidR="00515B06">
        <w:rPr>
          <w:rFonts w:ascii="Arial" w:hAnsi="Arial" w:cs="Arial"/>
        </w:rPr>
        <w:t xml:space="preserve"> oder fehlen</w:t>
      </w:r>
      <w:r w:rsidRPr="00CD5C94">
        <w:rPr>
          <w:rFonts w:ascii="Arial" w:hAnsi="Arial" w:cs="Arial"/>
        </w:rPr>
        <w:t xml:space="preserve">, konkrete Auswirkungen auf Grundeigentümer sind </w:t>
      </w:r>
      <w:r w:rsidR="005F50FC">
        <w:rPr>
          <w:rFonts w:ascii="Arial" w:hAnsi="Arial" w:cs="Arial"/>
        </w:rPr>
        <w:t xml:space="preserve">im aktuellen NWP-E </w:t>
      </w:r>
      <w:r w:rsidRPr="00CD5C94">
        <w:rPr>
          <w:rFonts w:ascii="Arial" w:hAnsi="Arial" w:cs="Arial"/>
        </w:rPr>
        <w:t xml:space="preserve">nicht erkennbar. </w:t>
      </w:r>
      <w:r w:rsidR="005F50FC">
        <w:rPr>
          <w:rFonts w:ascii="Arial" w:hAnsi="Arial" w:cs="Arial"/>
        </w:rPr>
        <w:t xml:space="preserve">Da künftige NWP eine andere Planungsgrundlage vorsehen, ist dies irreführend. </w:t>
      </w:r>
      <w:r w:rsidRPr="00CD5C94">
        <w:rPr>
          <w:rFonts w:ascii="Arial" w:hAnsi="Arial" w:cs="Arial"/>
        </w:rPr>
        <w:t>Gleichzeitig erschweren enge Fristen und die Zeichenbegrenzung eine sachgerechte fachliche Beteiligung.</w:t>
      </w:r>
    </w:p>
    <w:p w14:paraId="0EA3430B" w14:textId="7C9BA51F" w:rsidR="008F7162" w:rsidRPr="00CD5C94" w:rsidRDefault="008F7162" w:rsidP="008F7162">
      <w:pPr>
        <w:pStyle w:val="berschrift2"/>
        <w:rPr>
          <w:rFonts w:ascii="Arial" w:hAnsi="Arial" w:cs="Arial"/>
        </w:rPr>
      </w:pPr>
      <w:r w:rsidRPr="00CD5C94">
        <w:rPr>
          <w:rFonts w:ascii="Arial" w:hAnsi="Arial" w:cs="Arial"/>
        </w:rPr>
        <w:t>Wälder nicht einseitig belasten</w:t>
      </w:r>
    </w:p>
    <w:p w14:paraId="284FB7E4" w14:textId="77777777" w:rsidR="008F7162" w:rsidRPr="00CD5C94" w:rsidRDefault="008F7162" w:rsidP="008F7162">
      <w:pPr>
        <w:rPr>
          <w:rFonts w:ascii="Arial" w:hAnsi="Arial" w:cs="Arial"/>
        </w:rPr>
      </w:pPr>
      <w:r w:rsidRPr="00CD5C94">
        <w:rPr>
          <w:rFonts w:ascii="Arial" w:hAnsi="Arial" w:cs="Arial"/>
        </w:rPr>
        <w:t>Wälder gehören bereits heute zu den vergleichsweise gut erhaltenen Ökosystemen, werden im Rahmen der Wiederherstellungsverordnung jedoch besonders stark in Anspruch genommen. Zusätzliche Anforderungen müssen verhältnismäßig bleiben und die bereits erbrachten Leistungen nachhaltiger Waldbewirtschaftung berücksichtigen.</w:t>
      </w:r>
    </w:p>
    <w:p w14:paraId="43C4AA7D" w14:textId="77777777" w:rsidR="00AA25EC" w:rsidRDefault="00AA25EC" w:rsidP="0035472E">
      <w:pPr>
        <w:pStyle w:val="berschrift1"/>
      </w:pPr>
    </w:p>
    <w:p w14:paraId="0CC65204" w14:textId="77777777" w:rsidR="00A1318C" w:rsidRDefault="00A1318C" w:rsidP="00A1318C"/>
    <w:p w14:paraId="0AC0E0CA" w14:textId="77777777" w:rsidR="00A1318C" w:rsidRDefault="00A1318C" w:rsidP="00A1318C"/>
    <w:p w14:paraId="510805FD" w14:textId="77777777" w:rsidR="00A1318C" w:rsidRDefault="00A1318C" w:rsidP="00A1318C"/>
    <w:p w14:paraId="4F383101" w14:textId="77777777" w:rsidR="00A1318C" w:rsidRPr="00A1318C" w:rsidRDefault="00A1318C" w:rsidP="00A1318C"/>
    <w:p w14:paraId="4577551D" w14:textId="49C2730E" w:rsidR="00C608C9" w:rsidRDefault="0035472E" w:rsidP="0035472E">
      <w:pPr>
        <w:pStyle w:val="berschrift1"/>
      </w:pPr>
      <w:r>
        <w:lastRenderedPageBreak/>
        <w:t>Zielunabhängige Angaben</w:t>
      </w:r>
    </w:p>
    <w:p w14:paraId="6FF81F2D" w14:textId="50EA92D9" w:rsidR="0035472E" w:rsidRDefault="0035472E" w:rsidP="00066F99">
      <w:pPr>
        <w:pStyle w:val="Listenabsatz"/>
        <w:numPr>
          <w:ilvl w:val="0"/>
          <w:numId w:val="11"/>
        </w:numPr>
        <w:rPr>
          <w:rFonts w:ascii="Arial" w:hAnsi="Arial" w:cs="Arial"/>
        </w:rPr>
      </w:pPr>
      <w:r w:rsidRPr="00066F99">
        <w:rPr>
          <w:rFonts w:ascii="Arial" w:hAnsi="Arial" w:cs="Arial"/>
        </w:rPr>
        <w:t xml:space="preserve">Die angekündigte Freiwilligkeit muss dauerhaft und im NWP rechtssicher umgesetzt werden. Dieses sieht der NWP derzeit nicht vor. Die Freiwilligkeit und die finanzielle Förderung ist lediglich als vorrangige </w:t>
      </w:r>
      <w:r w:rsidR="00AA25EC" w:rsidRPr="00066F99">
        <w:rPr>
          <w:rFonts w:ascii="Arial" w:hAnsi="Arial" w:cs="Arial"/>
        </w:rPr>
        <w:t>S</w:t>
      </w:r>
      <w:r w:rsidRPr="00066F99">
        <w:rPr>
          <w:rFonts w:ascii="Arial" w:hAnsi="Arial" w:cs="Arial"/>
        </w:rPr>
        <w:t xml:space="preserve">oll-Vorschrift aufgeführt. Dieses ist als </w:t>
      </w:r>
      <w:r w:rsidR="00AA25EC" w:rsidRPr="00066F99">
        <w:rPr>
          <w:rFonts w:ascii="Arial" w:hAnsi="Arial" w:cs="Arial"/>
        </w:rPr>
        <w:t>Muss-Vorschrift</w:t>
      </w:r>
      <w:r w:rsidRPr="00066F99">
        <w:rPr>
          <w:rFonts w:ascii="Arial" w:hAnsi="Arial" w:cs="Arial"/>
        </w:rPr>
        <w:t xml:space="preserve"> rechtssicher umzusetzen.</w:t>
      </w:r>
    </w:p>
    <w:p w14:paraId="3447141E" w14:textId="77777777" w:rsidR="00066F99" w:rsidRPr="00066F99" w:rsidRDefault="00066F99" w:rsidP="00066F99">
      <w:pPr>
        <w:pStyle w:val="Listenabsatz"/>
        <w:rPr>
          <w:rFonts w:ascii="Arial" w:hAnsi="Arial" w:cs="Arial"/>
        </w:rPr>
      </w:pPr>
    </w:p>
    <w:p w14:paraId="7FD29235" w14:textId="61A5AF23" w:rsidR="0035472E" w:rsidRPr="00066F99" w:rsidRDefault="0035472E" w:rsidP="00066F99">
      <w:pPr>
        <w:pStyle w:val="Listenabsatz"/>
        <w:numPr>
          <w:ilvl w:val="0"/>
          <w:numId w:val="11"/>
        </w:numPr>
        <w:rPr>
          <w:rFonts w:ascii="Arial" w:hAnsi="Arial" w:cs="Arial"/>
        </w:rPr>
      </w:pPr>
      <w:r w:rsidRPr="00066F99">
        <w:rPr>
          <w:rFonts w:ascii="Arial" w:hAnsi="Arial" w:cs="Arial"/>
        </w:rPr>
        <w:t xml:space="preserve">Der Bund hat in vielen Bereichen, die die W-VO umfasst keine Regelungsbefugnis. </w:t>
      </w:r>
      <w:r w:rsidR="002B7A6D" w:rsidRPr="00066F99">
        <w:rPr>
          <w:rFonts w:ascii="Arial" w:hAnsi="Arial" w:cs="Arial"/>
        </w:rPr>
        <w:t xml:space="preserve">Durch den NWP </w:t>
      </w:r>
      <w:r w:rsidR="005F50FC">
        <w:rPr>
          <w:rFonts w:ascii="Arial" w:hAnsi="Arial" w:cs="Arial"/>
        </w:rPr>
        <w:t xml:space="preserve">und seine Folgen </w:t>
      </w:r>
      <w:r w:rsidR="002B7A6D" w:rsidRPr="00066F99">
        <w:rPr>
          <w:rFonts w:ascii="Arial" w:hAnsi="Arial" w:cs="Arial"/>
        </w:rPr>
        <w:t>darf nicht in die bestehenden Länderkompetenzen eingegriffen werden.</w:t>
      </w:r>
    </w:p>
    <w:p w14:paraId="19AEE5DC" w14:textId="77777777" w:rsidR="00A1318C" w:rsidRDefault="00A1318C" w:rsidP="00160444">
      <w:pPr>
        <w:pStyle w:val="berschrift1"/>
      </w:pPr>
    </w:p>
    <w:p w14:paraId="303F23BF" w14:textId="39BCC3C3" w:rsidR="002B7A6D" w:rsidRDefault="002B7A6D" w:rsidP="00160444">
      <w:pPr>
        <w:pStyle w:val="berschrift1"/>
      </w:pPr>
      <w:r>
        <w:t>Artikel 4</w:t>
      </w:r>
    </w:p>
    <w:p w14:paraId="1749E492" w14:textId="2FF3CE20" w:rsidR="002B7A6D" w:rsidRPr="00717DAF" w:rsidRDefault="00E81936" w:rsidP="00717DAF">
      <w:pPr>
        <w:pStyle w:val="Listenabsatz"/>
        <w:numPr>
          <w:ilvl w:val="0"/>
          <w:numId w:val="10"/>
        </w:numPr>
        <w:rPr>
          <w:rFonts w:ascii="Arial" w:hAnsi="Arial" w:cs="Arial"/>
        </w:rPr>
      </w:pPr>
      <w:r w:rsidRPr="00717DAF">
        <w:rPr>
          <w:rFonts w:ascii="Arial" w:hAnsi="Arial" w:cs="Arial"/>
        </w:rPr>
        <w:t>Wird künftig für Artikel 4 das gleiche Rechtssystem wie Natura 2000, ins</w:t>
      </w:r>
      <w:r w:rsidR="00717DAF" w:rsidRPr="00717DAF">
        <w:rPr>
          <w:rFonts w:ascii="Arial" w:hAnsi="Arial" w:cs="Arial"/>
        </w:rPr>
        <w:t>.</w:t>
      </w:r>
      <w:r w:rsidRPr="00717DAF">
        <w:rPr>
          <w:rFonts w:ascii="Arial" w:hAnsi="Arial" w:cs="Arial"/>
        </w:rPr>
        <w:t xml:space="preserve"> Art. 6 FFH-RL unterstellt?</w:t>
      </w:r>
      <w:r w:rsidR="002B7A6D" w:rsidRPr="00717DAF">
        <w:rPr>
          <w:rFonts w:ascii="Arial" w:hAnsi="Arial" w:cs="Arial"/>
        </w:rPr>
        <w:t xml:space="preserve"> </w:t>
      </w:r>
      <w:r w:rsidRPr="00717DAF">
        <w:rPr>
          <w:rFonts w:ascii="Arial" w:hAnsi="Arial" w:cs="Arial"/>
        </w:rPr>
        <w:t xml:space="preserve">Damit würde das Verschlechterungsverbot und entsprechende Erheblichkeitsabschätzungen, Erheblichkeitsprüfungen etc. mit einem bürokratischen und finanziellen Aufwand gelten. Die EU-Kommission hat aber klargestellt, dass </w:t>
      </w:r>
      <w:r w:rsidR="00717DAF" w:rsidRPr="00717DAF">
        <w:rPr>
          <w:rFonts w:ascii="Arial" w:hAnsi="Arial" w:cs="Arial"/>
        </w:rPr>
        <w:t xml:space="preserve">die W-VO </w:t>
      </w:r>
      <w:r w:rsidRPr="00717DAF">
        <w:rPr>
          <w:rFonts w:ascii="Arial" w:hAnsi="Arial" w:cs="Arial"/>
        </w:rPr>
        <w:t xml:space="preserve">nicht </w:t>
      </w:r>
      <w:r w:rsidR="00717DAF" w:rsidRPr="00717DAF">
        <w:rPr>
          <w:rFonts w:ascii="Arial" w:hAnsi="Arial" w:cs="Arial"/>
        </w:rPr>
        <w:t>ein</w:t>
      </w:r>
      <w:r w:rsidRPr="00717DAF">
        <w:rPr>
          <w:rFonts w:ascii="Arial" w:hAnsi="Arial" w:cs="Arial"/>
        </w:rPr>
        <w:t xml:space="preserve"> Verschlechterungsverbot, sondern eine Nichtverschlechterungsanforderung</w:t>
      </w:r>
      <w:r w:rsidR="00717DAF" w:rsidRPr="00717DAF">
        <w:rPr>
          <w:rFonts w:ascii="Arial" w:hAnsi="Arial" w:cs="Arial"/>
        </w:rPr>
        <w:t xml:space="preserve"> enthält</w:t>
      </w:r>
      <w:r w:rsidRPr="00717DAF">
        <w:rPr>
          <w:rFonts w:ascii="Arial" w:hAnsi="Arial" w:cs="Arial"/>
        </w:rPr>
        <w:t>. Diese Begriffe sind grundsätzlich unterschiedlich zu bewerten. Dieses muss sich</w:t>
      </w:r>
      <w:r w:rsidR="005F50FC">
        <w:rPr>
          <w:rFonts w:ascii="Arial" w:hAnsi="Arial" w:cs="Arial"/>
        </w:rPr>
        <w:t xml:space="preserve"> auch</w:t>
      </w:r>
      <w:r w:rsidRPr="00717DAF">
        <w:rPr>
          <w:rFonts w:ascii="Arial" w:hAnsi="Arial" w:cs="Arial"/>
        </w:rPr>
        <w:t xml:space="preserve"> im NWP wiederfinden.</w:t>
      </w:r>
      <w:r w:rsidR="00160444">
        <w:rPr>
          <w:rFonts w:ascii="Arial" w:hAnsi="Arial" w:cs="Arial"/>
        </w:rPr>
        <w:t xml:space="preserve"> 6.4.1 des NWP ist entsprechend neu zu formulieren und </w:t>
      </w:r>
      <w:r w:rsidR="005F50FC">
        <w:rPr>
          <w:rFonts w:ascii="Arial" w:hAnsi="Arial" w:cs="Arial"/>
        </w:rPr>
        <w:t xml:space="preserve">hat </w:t>
      </w:r>
      <w:r w:rsidR="00160444">
        <w:rPr>
          <w:rFonts w:ascii="Arial" w:hAnsi="Arial" w:cs="Arial"/>
        </w:rPr>
        <w:t xml:space="preserve">sich ausschließlich auf Natura 2000-Flächen </w:t>
      </w:r>
      <w:r w:rsidR="005F50FC">
        <w:rPr>
          <w:rFonts w:ascii="Arial" w:hAnsi="Arial" w:cs="Arial"/>
        </w:rPr>
        <w:t xml:space="preserve">zu </w:t>
      </w:r>
      <w:r w:rsidR="00160444">
        <w:rPr>
          <w:rFonts w:ascii="Arial" w:hAnsi="Arial" w:cs="Arial"/>
        </w:rPr>
        <w:t>beziehen.</w:t>
      </w:r>
    </w:p>
    <w:p w14:paraId="2709ACAB" w14:textId="48162B0F" w:rsidR="00717DAF" w:rsidRPr="00066F99" w:rsidRDefault="00E81936" w:rsidP="00066F99">
      <w:pPr>
        <w:ind w:left="708"/>
        <w:rPr>
          <w:rFonts w:ascii="Arial" w:hAnsi="Arial" w:cs="Arial"/>
        </w:rPr>
      </w:pPr>
      <w:r w:rsidRPr="00AA25EC">
        <w:rPr>
          <w:rFonts w:ascii="Arial" w:hAnsi="Arial" w:cs="Arial"/>
        </w:rPr>
        <w:t xml:space="preserve">Sofern eine Übertragung des Regimes des Art. 6 FFH-RL auf den Art. 4 W-VO nicht beabsichtigt ist, bedarf es </w:t>
      </w:r>
      <w:r w:rsidR="00717DAF" w:rsidRPr="00AA25EC">
        <w:rPr>
          <w:rFonts w:ascii="Arial" w:hAnsi="Arial" w:cs="Arial"/>
        </w:rPr>
        <w:t>d</w:t>
      </w:r>
      <w:r w:rsidRPr="00AA25EC">
        <w:rPr>
          <w:rFonts w:ascii="Arial" w:hAnsi="Arial" w:cs="Arial"/>
        </w:rPr>
        <w:t>er eindeutigen Klarstellung</w:t>
      </w:r>
      <w:r w:rsidR="00717DAF" w:rsidRPr="00AA25EC">
        <w:rPr>
          <w:rFonts w:ascii="Arial" w:hAnsi="Arial" w:cs="Arial"/>
        </w:rPr>
        <w:t>,</w:t>
      </w:r>
      <w:r w:rsidRPr="00AA25EC">
        <w:rPr>
          <w:rFonts w:ascii="Arial" w:hAnsi="Arial" w:cs="Arial"/>
        </w:rPr>
        <w:t xml:space="preserve"> dass eine Übernahme des Regimes de</w:t>
      </w:r>
      <w:r w:rsidR="003A7DF7">
        <w:rPr>
          <w:rFonts w:ascii="Arial" w:hAnsi="Arial" w:cs="Arial"/>
        </w:rPr>
        <w:t>s</w:t>
      </w:r>
      <w:r w:rsidRPr="00AA25EC">
        <w:rPr>
          <w:rFonts w:ascii="Arial" w:hAnsi="Arial" w:cs="Arial"/>
        </w:rPr>
        <w:t xml:space="preserve"> § 33 BNatSchG nicht vorgesehen ist</w:t>
      </w:r>
      <w:r w:rsidR="00160444" w:rsidRPr="00AA25EC">
        <w:rPr>
          <w:rFonts w:ascii="Arial" w:hAnsi="Arial" w:cs="Arial"/>
        </w:rPr>
        <w:t xml:space="preserve"> (außerhalb Natura 2000-Flächen)</w:t>
      </w:r>
      <w:r w:rsidRPr="00AA25EC">
        <w:rPr>
          <w:rFonts w:ascii="Arial" w:hAnsi="Arial" w:cs="Arial"/>
        </w:rPr>
        <w:t xml:space="preserve">. Ferner ist im Sinne des Bürokratieabbaus eine Regelausnahme gem. § 14 Abs. (2) i.V.m. </w:t>
      </w:r>
      <w:r w:rsidR="003A7DF7">
        <w:rPr>
          <w:rFonts w:ascii="Arial" w:hAnsi="Arial" w:cs="Arial"/>
        </w:rPr>
        <w:t xml:space="preserve">§ </w:t>
      </w:r>
      <w:r w:rsidRPr="00AA25EC">
        <w:rPr>
          <w:rFonts w:ascii="Arial" w:hAnsi="Arial" w:cs="Arial"/>
        </w:rPr>
        <w:t xml:space="preserve">5 BNatSchG für ordnungsgemäße Land-, Forst- und Fischereiwirtschaft (incl. der notwendigen jagdlichen Bewirtschaftung) vorzusehen. </w:t>
      </w:r>
    </w:p>
    <w:p w14:paraId="44C64418" w14:textId="5ADB691C" w:rsidR="00066F99" w:rsidRDefault="00717DAF" w:rsidP="00066F99">
      <w:pPr>
        <w:pStyle w:val="Listenabsatz"/>
        <w:numPr>
          <w:ilvl w:val="0"/>
          <w:numId w:val="10"/>
        </w:numPr>
        <w:spacing w:after="120"/>
        <w:ind w:left="714" w:hanging="357"/>
        <w:contextualSpacing w:val="0"/>
        <w:rPr>
          <w:rFonts w:ascii="Arial" w:hAnsi="Arial" w:cs="Arial"/>
        </w:rPr>
      </w:pPr>
      <w:r w:rsidRPr="00717DAF">
        <w:rPr>
          <w:rFonts w:ascii="Arial" w:hAnsi="Arial" w:cs="Arial"/>
        </w:rPr>
        <w:t xml:space="preserve">Grundlage für die Flächenermittlung ist der FFH-Bericht 2025. Dieser weicht in </w:t>
      </w:r>
      <w:r w:rsidR="005F50FC">
        <w:rPr>
          <w:rFonts w:ascii="Arial" w:hAnsi="Arial" w:cs="Arial"/>
        </w:rPr>
        <w:t>sein</w:t>
      </w:r>
      <w:r w:rsidRPr="00717DAF">
        <w:rPr>
          <w:rFonts w:ascii="Arial" w:hAnsi="Arial" w:cs="Arial"/>
        </w:rPr>
        <w:t>er Systematik für Wald-LRT von den bisherigen Berichten ab, ohne hierfür eine ausreichende fachliche Grundlage zu haben. Durch diese neu eingeführte Systematik kommt es zu einer Erhöhung der wiederherzustellenden Flächen insbesondere in Wald-LRT mit einem großen Flächenanteil, wie z.B. Buchen-LRTen. Die aufgeführten Flächenangaben für Wiederherstellungsmaßnahmen sind in Frage zu stellen.</w:t>
      </w:r>
    </w:p>
    <w:p w14:paraId="5B4B6569" w14:textId="59AB599E" w:rsidR="00066F99" w:rsidRDefault="00717DAF" w:rsidP="00066F99">
      <w:pPr>
        <w:pStyle w:val="Listenabsatz"/>
        <w:numPr>
          <w:ilvl w:val="0"/>
          <w:numId w:val="10"/>
        </w:numPr>
        <w:ind w:left="714" w:hanging="357"/>
        <w:contextualSpacing w:val="0"/>
        <w:rPr>
          <w:rFonts w:ascii="Arial" w:hAnsi="Arial" w:cs="Arial"/>
        </w:rPr>
      </w:pPr>
      <w:r w:rsidRPr="00066F99">
        <w:rPr>
          <w:rFonts w:ascii="Arial" w:hAnsi="Arial" w:cs="Arial"/>
        </w:rPr>
        <w:t>Bei der Neuetablierung von LRT und Arthabitaten, die insbesondere ab 2040 erfolgen soll, ist eine vor ab-Beteiligung der betroffenen Grundeigentümer durchzuführen. Die Notwendigkeit für jede einzelne zusätzlich auszuweisende Fläche ist fachlich und nach den Grundsätzen von Natura 2000-Ausweisungen zu begründen.</w:t>
      </w:r>
    </w:p>
    <w:p w14:paraId="1182AA6B" w14:textId="5F760472" w:rsidR="00717DAF" w:rsidRPr="00066F99" w:rsidRDefault="00717DAF" w:rsidP="00066F99">
      <w:pPr>
        <w:pStyle w:val="Listenabsatz"/>
        <w:numPr>
          <w:ilvl w:val="0"/>
          <w:numId w:val="10"/>
        </w:numPr>
        <w:ind w:left="714" w:hanging="357"/>
        <w:contextualSpacing w:val="0"/>
        <w:rPr>
          <w:rFonts w:ascii="Arial" w:hAnsi="Arial" w:cs="Arial"/>
        </w:rPr>
      </w:pPr>
      <w:r>
        <w:rPr>
          <w:rFonts w:ascii="Arial" w:hAnsi="Arial" w:cs="Arial"/>
        </w:rPr>
        <w:t>Die Planung des NWP erfolgt auf NUTS 3-Ebene. Ab 2032 enthält der NWP aber eine flurstückscharfe Planung. Wie wird sichergestellt, dass die betroffenen Eigentümer und Bewirtschafter eingebunden werden?</w:t>
      </w:r>
    </w:p>
    <w:p w14:paraId="136E821F" w14:textId="6031D60B" w:rsidR="00717DAF" w:rsidRDefault="00717DAF" w:rsidP="00717DAF">
      <w:pPr>
        <w:pStyle w:val="Listenabsatz"/>
        <w:numPr>
          <w:ilvl w:val="0"/>
          <w:numId w:val="10"/>
        </w:numPr>
        <w:rPr>
          <w:rFonts w:ascii="Arial" w:hAnsi="Arial" w:cs="Arial"/>
        </w:rPr>
      </w:pPr>
      <w:r>
        <w:rPr>
          <w:rFonts w:ascii="Arial" w:hAnsi="Arial" w:cs="Arial"/>
        </w:rPr>
        <w:lastRenderedPageBreak/>
        <w:t xml:space="preserve">Viele LRT sind unter den Bedingungen des Klimawandels nicht zukunftsfähig. Wie wird sichergestellt, dass künftig </w:t>
      </w:r>
      <w:r w:rsidR="00163650">
        <w:rPr>
          <w:rFonts w:ascii="Arial" w:hAnsi="Arial" w:cs="Arial"/>
        </w:rPr>
        <w:t>auch in LRT ein notwendiger Waldumbau auch mit klimaresilienten Baumarten unabhängig vom bestehenden LRT incl. einer notwendige Bejagung durchgeführt werden kann? Dieses ist im NWP rechtssicher aufzunehmen. Waldumbaumaßnahmen in bisher nicht ausgewiesenen LRT (außerhalb Natura 2000) müssen rechtssicher fortgeführt werden können.</w:t>
      </w:r>
    </w:p>
    <w:p w14:paraId="6AA43F83" w14:textId="290283EC" w:rsidR="00163650" w:rsidRPr="00066F99" w:rsidRDefault="00163650" w:rsidP="00066F99">
      <w:pPr>
        <w:pStyle w:val="Listenabsatz"/>
        <w:rPr>
          <w:rFonts w:ascii="Arial" w:hAnsi="Arial" w:cs="Arial"/>
        </w:rPr>
      </w:pPr>
      <w:r>
        <w:rPr>
          <w:rFonts w:ascii="Arial" w:hAnsi="Arial" w:cs="Arial"/>
        </w:rPr>
        <w:t>Wie erfolgt eine klimawandelnotwendige Flexibilisierung und Dynamisierung von LRT und Arthabitaten? Die derzeit nach Natura 2000 existierenden Definitionen von LRT sind zu überarbeiten. Dieses ist rechtssicher im NWP aufzunehmen.</w:t>
      </w:r>
    </w:p>
    <w:p w14:paraId="24A3EE63" w14:textId="7FC649AC" w:rsidR="00163650" w:rsidRPr="00066F99" w:rsidRDefault="00163650" w:rsidP="00066F99">
      <w:pPr>
        <w:pStyle w:val="Listenabsatz"/>
        <w:contextualSpacing w:val="0"/>
        <w:rPr>
          <w:rFonts w:ascii="Arial" w:hAnsi="Arial" w:cs="Arial"/>
        </w:rPr>
      </w:pPr>
      <w:r>
        <w:rPr>
          <w:rFonts w:ascii="Arial" w:hAnsi="Arial" w:cs="Arial"/>
        </w:rPr>
        <w:t>LRT, die aufgrund des Klimawandels nicht mehr zukunftsfähig sind, sind zu streichen und nicht mit Flächen zu hinterlegen.</w:t>
      </w:r>
    </w:p>
    <w:p w14:paraId="29D9D3ED" w14:textId="20C5E1A8" w:rsidR="00163650" w:rsidRDefault="00163650" w:rsidP="00717DAF">
      <w:pPr>
        <w:pStyle w:val="Listenabsatz"/>
        <w:numPr>
          <w:ilvl w:val="0"/>
          <w:numId w:val="10"/>
        </w:numPr>
        <w:rPr>
          <w:rFonts w:ascii="Arial" w:hAnsi="Arial" w:cs="Arial"/>
        </w:rPr>
      </w:pPr>
      <w:r>
        <w:rPr>
          <w:rFonts w:ascii="Arial" w:hAnsi="Arial" w:cs="Arial"/>
        </w:rPr>
        <w:t>Wie erfolgt die Überwachung der Wiederherstellungsmaßnahem und das Erkennen einer drohenden Verschlechterung nach Art. 4 Abs. 11?</w:t>
      </w:r>
      <w:r w:rsidR="00160444">
        <w:rPr>
          <w:rFonts w:ascii="Arial" w:hAnsi="Arial" w:cs="Arial"/>
        </w:rPr>
        <w:t xml:space="preserve"> Welche Folgen hat der Eigentümer und Bewirtschafter? Wer trägt die Beweislast?</w:t>
      </w:r>
    </w:p>
    <w:p w14:paraId="35F0B115" w14:textId="77777777" w:rsidR="00160444" w:rsidRDefault="00160444" w:rsidP="00160444">
      <w:pPr>
        <w:pStyle w:val="Listenabsatz"/>
        <w:rPr>
          <w:rFonts w:ascii="Arial" w:hAnsi="Arial" w:cs="Arial"/>
        </w:rPr>
      </w:pPr>
    </w:p>
    <w:p w14:paraId="649F64AA" w14:textId="2E5C3DAD" w:rsidR="00160444" w:rsidRDefault="00160444" w:rsidP="00717DAF">
      <w:pPr>
        <w:pStyle w:val="Listenabsatz"/>
        <w:numPr>
          <w:ilvl w:val="0"/>
          <w:numId w:val="10"/>
        </w:numPr>
        <w:rPr>
          <w:rFonts w:ascii="Arial" w:hAnsi="Arial" w:cs="Arial"/>
        </w:rPr>
      </w:pPr>
      <w:r w:rsidRPr="00160444">
        <w:rPr>
          <w:rFonts w:ascii="Arial" w:hAnsi="Arial" w:cs="Arial"/>
        </w:rPr>
        <w:t xml:space="preserve">Die angekündigte Freiwilligkeit muss dauerhaft und im NWP rechtssicher umgesetzt werden. Dieses sieht der NWP derzeit nicht vor. Die Freiwilligkeit und die finanzielle Förderung ist lediglich als vorrangige </w:t>
      </w:r>
      <w:r w:rsidR="00AC6900">
        <w:rPr>
          <w:rFonts w:ascii="Arial" w:hAnsi="Arial" w:cs="Arial"/>
        </w:rPr>
        <w:t>S</w:t>
      </w:r>
      <w:r w:rsidRPr="00160444">
        <w:rPr>
          <w:rFonts w:ascii="Arial" w:hAnsi="Arial" w:cs="Arial"/>
        </w:rPr>
        <w:t xml:space="preserve">oll-Vorschrift aufgeführt. Dieses ist als </w:t>
      </w:r>
      <w:r w:rsidR="00AC6900">
        <w:rPr>
          <w:rFonts w:ascii="Arial" w:hAnsi="Arial" w:cs="Arial"/>
        </w:rPr>
        <w:t>M</w:t>
      </w:r>
      <w:r w:rsidRPr="00160444">
        <w:rPr>
          <w:rFonts w:ascii="Arial" w:hAnsi="Arial" w:cs="Arial"/>
        </w:rPr>
        <w:t xml:space="preserve">uss-Vorschrift rechtssicher umzusetzen. </w:t>
      </w:r>
    </w:p>
    <w:p w14:paraId="077A6066" w14:textId="77777777" w:rsidR="00160444" w:rsidRDefault="00160444" w:rsidP="00160444">
      <w:pPr>
        <w:pStyle w:val="Listenabsatz"/>
        <w:rPr>
          <w:rFonts w:ascii="Arial" w:hAnsi="Arial" w:cs="Arial"/>
        </w:rPr>
      </w:pPr>
    </w:p>
    <w:p w14:paraId="051C71AD" w14:textId="77777777" w:rsidR="00066F99" w:rsidRPr="00160444" w:rsidRDefault="00066F99" w:rsidP="00160444">
      <w:pPr>
        <w:pStyle w:val="Listenabsatz"/>
        <w:rPr>
          <w:rFonts w:ascii="Arial" w:hAnsi="Arial" w:cs="Arial"/>
        </w:rPr>
      </w:pPr>
    </w:p>
    <w:p w14:paraId="0782B1F1" w14:textId="6DAACB82" w:rsidR="00160444" w:rsidRDefault="00160444" w:rsidP="00066F99">
      <w:pPr>
        <w:pStyle w:val="berschrift1"/>
      </w:pPr>
      <w:r>
        <w:t>Artikel 12</w:t>
      </w:r>
      <w:r w:rsidR="00066F99">
        <w:t xml:space="preserve"> </w:t>
      </w:r>
    </w:p>
    <w:p w14:paraId="6EB47042" w14:textId="33717789" w:rsidR="00066F99" w:rsidRPr="00066F99" w:rsidRDefault="00066F99" w:rsidP="00066F99">
      <w:pPr>
        <w:pStyle w:val="berschrift2"/>
      </w:pPr>
      <w:r>
        <w:t>Allgemein</w:t>
      </w:r>
    </w:p>
    <w:p w14:paraId="0A63C79F" w14:textId="322BBA09" w:rsidR="00AC6900" w:rsidRDefault="00147E52" w:rsidP="00160444">
      <w:pPr>
        <w:rPr>
          <w:rFonts w:ascii="Arial" w:hAnsi="Arial" w:cs="Arial"/>
        </w:rPr>
      </w:pPr>
      <w:r>
        <w:rPr>
          <w:rFonts w:ascii="Arial" w:hAnsi="Arial" w:cs="Arial"/>
        </w:rPr>
        <w:t xml:space="preserve">Eine Kommentierung des Artikel 12 ist derzeit nicht möglich, da weder der Index häufiger Waldvogelarten, die gewählten Indikatoren, Bezugswerte </w:t>
      </w:r>
      <w:r w:rsidR="00AC6900">
        <w:rPr>
          <w:rFonts w:ascii="Arial" w:hAnsi="Arial" w:cs="Arial"/>
        </w:rPr>
        <w:t>noch</w:t>
      </w:r>
      <w:r>
        <w:rPr>
          <w:rFonts w:ascii="Arial" w:hAnsi="Arial" w:cs="Arial"/>
        </w:rPr>
        <w:t xml:space="preserve"> das zufriedenstellende Niveau bekannt sind. Gleichzeitig </w:t>
      </w:r>
      <w:r w:rsidR="005F50FC">
        <w:rPr>
          <w:rFonts w:ascii="Arial" w:hAnsi="Arial" w:cs="Arial"/>
        </w:rPr>
        <w:t>bezieht sich</w:t>
      </w:r>
      <w:r w:rsidR="008E3D77">
        <w:rPr>
          <w:rFonts w:ascii="Arial" w:hAnsi="Arial" w:cs="Arial"/>
        </w:rPr>
        <w:t xml:space="preserve"> Artikel 12 </w:t>
      </w:r>
      <w:r w:rsidR="005F50FC">
        <w:rPr>
          <w:rFonts w:ascii="Arial" w:hAnsi="Arial" w:cs="Arial"/>
        </w:rPr>
        <w:t xml:space="preserve">auf </w:t>
      </w:r>
      <w:r>
        <w:rPr>
          <w:rFonts w:ascii="Arial" w:hAnsi="Arial" w:cs="Arial"/>
        </w:rPr>
        <w:t>die gesamte Waldfläche</w:t>
      </w:r>
      <w:r w:rsidR="00AC6900">
        <w:rPr>
          <w:rFonts w:ascii="Arial" w:hAnsi="Arial" w:cs="Arial"/>
        </w:rPr>
        <w:t>,</w:t>
      </w:r>
      <w:r w:rsidR="008E3D77">
        <w:rPr>
          <w:rFonts w:ascii="Arial" w:hAnsi="Arial" w:cs="Arial"/>
        </w:rPr>
        <w:t xml:space="preserve"> für die </w:t>
      </w:r>
      <w:r w:rsidR="005F50FC">
        <w:rPr>
          <w:rFonts w:ascii="Arial" w:hAnsi="Arial" w:cs="Arial"/>
        </w:rPr>
        <w:t>auch</w:t>
      </w:r>
      <w:r w:rsidR="00AC6900">
        <w:rPr>
          <w:rFonts w:ascii="Arial" w:hAnsi="Arial" w:cs="Arial"/>
        </w:rPr>
        <w:t xml:space="preserve"> </w:t>
      </w:r>
      <w:r w:rsidR="008E3D77">
        <w:rPr>
          <w:rFonts w:ascii="Arial" w:hAnsi="Arial" w:cs="Arial"/>
        </w:rPr>
        <w:t>ein Aufwärtstrend erfolgen</w:t>
      </w:r>
      <w:r w:rsidR="005F50FC">
        <w:rPr>
          <w:rFonts w:ascii="Arial" w:hAnsi="Arial" w:cs="Arial"/>
        </w:rPr>
        <w:t xml:space="preserve"> muss</w:t>
      </w:r>
      <w:r>
        <w:rPr>
          <w:rFonts w:ascii="Arial" w:hAnsi="Arial" w:cs="Arial"/>
        </w:rPr>
        <w:t>.</w:t>
      </w:r>
      <w:r w:rsidR="008E3D77">
        <w:rPr>
          <w:rFonts w:ascii="Arial" w:hAnsi="Arial" w:cs="Arial"/>
        </w:rPr>
        <w:t xml:space="preserve"> Je nach Wahl der Indikatoren, Bezugsgrößen und dem zufriedenstellenden Niveau </w:t>
      </w:r>
      <w:r w:rsidR="005F50FC">
        <w:rPr>
          <w:rFonts w:ascii="Arial" w:hAnsi="Arial" w:cs="Arial"/>
        </w:rPr>
        <w:t>kann</w:t>
      </w:r>
      <w:r w:rsidR="008E3D77">
        <w:rPr>
          <w:rFonts w:ascii="Arial" w:hAnsi="Arial" w:cs="Arial"/>
        </w:rPr>
        <w:t xml:space="preserve"> es erhebliche Auswirkungen auf die Waldbewirtschaftung geben. </w:t>
      </w:r>
    </w:p>
    <w:p w14:paraId="35961D92" w14:textId="102739EF" w:rsidR="00147E52" w:rsidRDefault="00AC6900" w:rsidP="00160444">
      <w:pPr>
        <w:rPr>
          <w:rFonts w:ascii="Arial" w:hAnsi="Arial" w:cs="Arial"/>
        </w:rPr>
      </w:pPr>
      <w:r w:rsidRPr="00AC6900">
        <w:rPr>
          <w:rFonts w:ascii="Arial" w:hAnsi="Arial" w:cs="Arial"/>
        </w:rPr>
        <w:t>Solange Referenzwerte fehlen, besteht keine ausreichende Planungssicherheit. Rechtsfolgen, Kontrollanforderungen und möglicher zusätzlicher Verwaltungsaufwand bleiben unklar.</w:t>
      </w:r>
      <w:r>
        <w:rPr>
          <w:rFonts w:ascii="Arial" w:hAnsi="Arial" w:cs="Arial"/>
        </w:rPr>
        <w:t xml:space="preserve"> </w:t>
      </w:r>
      <w:r w:rsidRPr="00AC6900">
        <w:rPr>
          <w:rFonts w:ascii="Arial" w:hAnsi="Arial" w:cs="Arial"/>
        </w:rPr>
        <w:t xml:space="preserve">Die Festlegung der Indikatoren </w:t>
      </w:r>
      <w:r>
        <w:rPr>
          <w:rFonts w:ascii="Arial" w:hAnsi="Arial" w:cs="Arial"/>
        </w:rPr>
        <w:t>muss</w:t>
      </w:r>
      <w:r w:rsidRPr="00AC6900">
        <w:rPr>
          <w:rFonts w:ascii="Arial" w:hAnsi="Arial" w:cs="Arial"/>
        </w:rPr>
        <w:t xml:space="preserve"> fachlich nachvollziehbar, transparent und unter verbindlicher Beteiligung der betroffenen Eigentümer erfolgen. Entscheidend ist, dass keine pauschalen Bewirtschaftungsvorgaben oder unzumutbaren Belastungen entstehen.</w:t>
      </w:r>
    </w:p>
    <w:p w14:paraId="596D9970" w14:textId="1E8459AE" w:rsidR="00AC6900" w:rsidRDefault="00AC6900" w:rsidP="00066F99">
      <w:pPr>
        <w:pStyle w:val="berschrift2"/>
      </w:pPr>
      <w:r>
        <w:t xml:space="preserve">Art. 12 Abs. 4 </w:t>
      </w:r>
      <w:r w:rsidR="00066F99">
        <w:t xml:space="preserve">- </w:t>
      </w:r>
      <w:r>
        <w:t>Nichteinhaltung der Verpflichtungen</w:t>
      </w:r>
    </w:p>
    <w:p w14:paraId="7B8CF676" w14:textId="77777777" w:rsidR="00AC6900" w:rsidRPr="00AC6900" w:rsidRDefault="00AC6900" w:rsidP="00AC6900">
      <w:pPr>
        <w:rPr>
          <w:rFonts w:ascii="Arial" w:hAnsi="Arial" w:cs="Arial"/>
        </w:rPr>
      </w:pPr>
      <w:r w:rsidRPr="00AC6900">
        <w:rPr>
          <w:rFonts w:ascii="Arial" w:hAnsi="Arial" w:cs="Arial"/>
        </w:rPr>
        <w:t>Die Verordnung erkennt an, dass ein Nichterreichen der vorgesehenen Aufwärtstrends akzeptiert werden muss, wenn dies auf höhere Gewalt, Naturkatastrophen, unkontrollierte Waldbrände oder unvermeidbare klimabedingte Lebensraumveränderungen zurückzuführen ist. Diese Ausnahmetatbestände sind für die Waldbewirtschaftung von erheblicher praktischer Bedeutung.</w:t>
      </w:r>
    </w:p>
    <w:p w14:paraId="73AC6B32" w14:textId="1F803401" w:rsidR="00AC6900" w:rsidRDefault="00AC6900" w:rsidP="00AC6900">
      <w:pPr>
        <w:rPr>
          <w:rFonts w:ascii="Arial" w:hAnsi="Arial" w:cs="Arial"/>
        </w:rPr>
      </w:pPr>
      <w:r w:rsidRPr="00AC6900">
        <w:rPr>
          <w:rFonts w:ascii="Arial" w:hAnsi="Arial" w:cs="Arial"/>
        </w:rPr>
        <w:lastRenderedPageBreak/>
        <w:t>Klimabedingte Standortveränderungen und Extremwetterereignisse prägen die Entwicklung vieler Wälder bereits heute. Solche Entwicklungen liegen regelmäßig außerhalb des Einflussbereichs der Waldbesitzenden und dürfen ihnen umso weniger als Zielverfehlung zugerechnet werden. Der NWP sollte deshalb klare Kriterien und Verfahren enthalten, nach denen solche Fälle dokumentiert, anerkannt und bei der Bewertung der Zielerreichung berücksichtigt werden.</w:t>
      </w:r>
    </w:p>
    <w:p w14:paraId="4E67E7C7" w14:textId="77777777" w:rsidR="00066F99" w:rsidRDefault="00066F99" w:rsidP="00160444">
      <w:pPr>
        <w:rPr>
          <w:rFonts w:ascii="Arial" w:hAnsi="Arial" w:cs="Arial"/>
        </w:rPr>
      </w:pPr>
    </w:p>
    <w:p w14:paraId="4849CE47" w14:textId="7B71403B" w:rsidR="00AC6900" w:rsidRDefault="00AC6900" w:rsidP="00066F99">
      <w:pPr>
        <w:pStyle w:val="berschrift1"/>
      </w:pPr>
      <w:r>
        <w:t>Teil C – Übergeordnete Maßnahmen</w:t>
      </w:r>
    </w:p>
    <w:p w14:paraId="4AD37647" w14:textId="0BC8C65F" w:rsidR="00AA25EC" w:rsidRDefault="00AA25EC" w:rsidP="00066F99">
      <w:pPr>
        <w:pStyle w:val="berschrift2"/>
      </w:pPr>
      <w:r>
        <w:t>Grundsätzliche E</w:t>
      </w:r>
      <w:r w:rsidR="00066F99">
        <w:t>i</w:t>
      </w:r>
      <w:r>
        <w:t>nwertung</w:t>
      </w:r>
    </w:p>
    <w:p w14:paraId="61D93D9A" w14:textId="25C2F530" w:rsidR="00AC6900" w:rsidRPr="00160444" w:rsidRDefault="00AC6900" w:rsidP="00160444">
      <w:pPr>
        <w:rPr>
          <w:rFonts w:ascii="Arial" w:hAnsi="Arial" w:cs="Arial"/>
        </w:rPr>
      </w:pPr>
      <w:r>
        <w:rPr>
          <w:rFonts w:ascii="Arial" w:hAnsi="Arial" w:cs="Arial"/>
        </w:rPr>
        <w:t xml:space="preserve">Die Einbeziehung der Förderprogramme </w:t>
      </w:r>
      <w:r w:rsidR="00834CC6">
        <w:rPr>
          <w:rFonts w:ascii="Arial" w:hAnsi="Arial" w:cs="Arial"/>
        </w:rPr>
        <w:t xml:space="preserve">wie </w:t>
      </w:r>
      <w:r>
        <w:rPr>
          <w:rFonts w:ascii="Arial" w:hAnsi="Arial" w:cs="Arial"/>
        </w:rPr>
        <w:t xml:space="preserve">KWM sowie GAK-Maßnahmen </w:t>
      </w:r>
      <w:r w:rsidR="00834CC6">
        <w:rPr>
          <w:rFonts w:ascii="Arial" w:hAnsi="Arial" w:cs="Arial"/>
        </w:rPr>
        <w:t xml:space="preserve">als Wiederherstellungsmaßnahme </w:t>
      </w:r>
      <w:r w:rsidR="00334B3E">
        <w:rPr>
          <w:rFonts w:ascii="Arial" w:hAnsi="Arial" w:cs="Arial"/>
        </w:rPr>
        <w:t>darf nicht rückwirkend erfolgen</w:t>
      </w:r>
      <w:r w:rsidR="00834CC6">
        <w:rPr>
          <w:rFonts w:ascii="Arial" w:hAnsi="Arial" w:cs="Arial"/>
        </w:rPr>
        <w:t>. Bereits vorher beanspruchte Förderungen, die noch in der Laufzeitbindung sind müssen außen vor bleiben und dürfen nicht als Wiederherstellungsmaßnahme ge</w:t>
      </w:r>
      <w:r w:rsidR="00334B3E">
        <w:rPr>
          <w:rFonts w:ascii="Arial" w:hAnsi="Arial" w:cs="Arial"/>
        </w:rPr>
        <w:t xml:space="preserve">wertet </w:t>
      </w:r>
      <w:r w:rsidR="00834CC6">
        <w:rPr>
          <w:rFonts w:ascii="Arial" w:hAnsi="Arial" w:cs="Arial"/>
        </w:rPr>
        <w:t>werden. Ansonsten würde dies zu einem erheblichen Vertrauensverlust gegenüber den Waldbesitzenden und Forstbetrieben führen.</w:t>
      </w:r>
      <w:r w:rsidR="00834CC6" w:rsidRPr="00834CC6">
        <w:t xml:space="preserve"> </w:t>
      </w:r>
      <w:r w:rsidR="00834CC6" w:rsidRPr="00834CC6">
        <w:rPr>
          <w:rFonts w:ascii="Arial" w:hAnsi="Arial" w:cs="Arial"/>
        </w:rPr>
        <w:t xml:space="preserve">Neben Lebensraumtypenflächen innerhalb und außerhalb von FFH-Gebieten werden zusätzlich KWM- und GAK-Flächen in die W-VO-Gebietskulisse einbezogen. Dies würde den freiwilligen Förderansatz schwächen und </w:t>
      </w:r>
      <w:r w:rsidR="00834CC6">
        <w:rPr>
          <w:rFonts w:ascii="Arial" w:hAnsi="Arial" w:cs="Arial"/>
        </w:rPr>
        <w:t>die Betroffenheit des Waldes</w:t>
      </w:r>
      <w:r w:rsidR="00834CC6" w:rsidRPr="00834CC6">
        <w:rPr>
          <w:rFonts w:ascii="Arial" w:hAnsi="Arial" w:cs="Arial"/>
        </w:rPr>
        <w:t xml:space="preserve"> erheblich ausweiten.</w:t>
      </w:r>
    </w:p>
    <w:p w14:paraId="1E42B444" w14:textId="67B57E1E" w:rsidR="00717DAF" w:rsidRDefault="00834CC6" w:rsidP="00066F99">
      <w:pPr>
        <w:pStyle w:val="berschrift2"/>
      </w:pPr>
      <w:r>
        <w:t>Spezifische Maßnahmen für Artikel 12 – Klimaangepasstes Waldmanagement</w:t>
      </w:r>
    </w:p>
    <w:p w14:paraId="4AE691CD" w14:textId="33B895D9" w:rsidR="00834CC6" w:rsidRDefault="00834CC6" w:rsidP="00834CC6">
      <w:r>
        <w:t>Eine nachträgliche Einordnung des Klimaangepassten Waldmanagements in den Vollzug der W-VO  sollte begrenzt werden. KWM ist ein eigenständiges Förderprogramm mit klar definierten Kriterien, einer bestimmten Laufzeit und einer eigenen Finanzierungsgrundlage. Es wurde geschaffen, um freiwillige zusätzliche Leistungen des klimaangepassten Waldmanagements zu honorieren und Waldbesitzenden hierfür Planungssicherheit zu geben.</w:t>
      </w:r>
    </w:p>
    <w:p w14:paraId="14A39D22" w14:textId="4B597A80" w:rsidR="00834CC6" w:rsidRDefault="00834CC6" w:rsidP="00834CC6">
      <w:r>
        <w:t>Wird KWM nachträglich als Beitrag zur Erfüllung europäischer Wiederherstellungsverpflichtungen gewertet, besteht das Risiko einer Zweckverschiebung. Ein freiwilliges Förderinstrument wird zu einem Baustein der W-VO-Umsetzung. Dadurch würde die Akzeptanz bei den Waldbesitzenden geschwächt.</w:t>
      </w:r>
    </w:p>
    <w:p w14:paraId="03D38547" w14:textId="63CFD14E" w:rsidR="00834CC6" w:rsidRDefault="00834CC6" w:rsidP="00834CC6">
      <w:r>
        <w:t>Der NWP sollte daher klarstellen, dass bestehende Förderprogramme wie KWM nicht ohne Weiteres als Erfüllungsinstrument der W-VO vereinnahmt werden. Zusätzliche Anforderungen aus der W-VO müssen zusätzlich finanziert werden und dürfen nicht zulasten bereits bestehender, freiwilliger Förderzusagen gehen.</w:t>
      </w:r>
    </w:p>
    <w:p w14:paraId="017016EB" w14:textId="5BF0BF26" w:rsidR="00834CC6" w:rsidRDefault="00834CC6" w:rsidP="00066F99">
      <w:pPr>
        <w:pStyle w:val="berschrift2"/>
      </w:pPr>
      <w:r>
        <w:t>Spezifische Maßnahmen für Artikel 12 – Waldumbau und Wiederaufforstung</w:t>
      </w:r>
    </w:p>
    <w:p w14:paraId="4805B201" w14:textId="05BE47C4" w:rsidR="00834CC6" w:rsidRDefault="00834CC6" w:rsidP="00834CC6">
      <w:r>
        <w:t xml:space="preserve">Die Einordnung der GAK-Förderung zum Waldumbau und zur Wiederaufforstung als Maßnahme zur Erfüllung von Artikel 12 W-VO ist kritisch zu bewerten. Die GAK-Waldförderung wurde geschaffen, um Betriebe freiwillig beim klimaangepassten Waldumbau, bei der Wiederbewaldung und bei der Stabilisierung geschädigter Bestände zu unterstützen. </w:t>
      </w:r>
    </w:p>
    <w:p w14:paraId="50C06F06" w14:textId="7D47C09D" w:rsidR="00834CC6" w:rsidRDefault="00834CC6" w:rsidP="00834CC6">
      <w:r>
        <w:t>Besonders problematisch ist, dass bereits in Förderung befindliche Flächen faktisch in eine W-VO-bezogene Flächenkulisse hineinwachsen. Neben Lebensraumtypenflächen innerhalb und außerhalb von FFH-Gebieten werden zusätzlich KWM- und GAK-Flächen in die W-VO-</w:t>
      </w:r>
      <w:r>
        <w:lastRenderedPageBreak/>
        <w:t>Gebietskulisse einbezogen. Dies würde den freiwilligen Förderansatz schwächen und die Betroffenheit des Waldes erheblich ausweiten.</w:t>
      </w:r>
    </w:p>
    <w:p w14:paraId="77C014D2" w14:textId="2BE1E5BB" w:rsidR="00834CC6" w:rsidRDefault="00834CC6" w:rsidP="00066F99">
      <w:pPr>
        <w:pStyle w:val="berschrift2"/>
      </w:pPr>
      <w:r>
        <w:t>Spezifische Maßnahmen für Artikel 12 – Jungbestandspflege</w:t>
      </w:r>
    </w:p>
    <w:p w14:paraId="455C12D1" w14:textId="77777777" w:rsidR="00834CC6" w:rsidRDefault="00834CC6" w:rsidP="00834CC6">
      <w:r>
        <w:t>Die Jungbestandspflege ist eine reguläre forstliche Kernmaßnahme zur Stabilisierung, Mischungspflege und Qualitätssicherung junger Bestände und dient der klimaangepassten Waldentwicklung.</w:t>
      </w:r>
    </w:p>
    <w:p w14:paraId="1BD6B848" w14:textId="49712ADB" w:rsidR="00834CC6" w:rsidRDefault="00834CC6" w:rsidP="00834CC6">
      <w:r>
        <w:t>Problematisch ist die breite Anrechnung auf Artikel 4, Artikel 10 und mehrere Indikatoren nach Artikel 12. Dadurch wird eine bewährte, freiwillig geförderte Bewirtschaftungsmaßnahme in einen Ziel- und Berichtszusammenhang gestellt, der mit erweiterten Vorgaben und Kontrollen belastet wird.</w:t>
      </w:r>
      <w:r w:rsidR="00AA25EC">
        <w:t xml:space="preserve"> Gleichzeitig ist insbesondere bei Einbeziehung in die Flächenkulisse nach Artikel 4 die Pflege in einen klimaangepassten Waldbestand nicht mehr möglich, da sie sich an LRT orientieren muss – egal ob diese unter den Bedingungen des Klimawandels zukunftsfähig sind.</w:t>
      </w:r>
    </w:p>
    <w:p w14:paraId="4C6273A4" w14:textId="2AA0B466" w:rsidR="00AA25EC" w:rsidRDefault="00AA25EC" w:rsidP="00066F99">
      <w:pPr>
        <w:pStyle w:val="berschrift2"/>
      </w:pPr>
      <w:r>
        <w:t>Spezifische Maßnahmen für Artikel 12 – Erstaufforstung</w:t>
      </w:r>
    </w:p>
    <w:p w14:paraId="725B0465" w14:textId="723572BC" w:rsidR="00717DAF" w:rsidRDefault="00AA25EC" w:rsidP="0035472E">
      <w:r w:rsidRPr="00AA25EC">
        <w:t>Die Erstaufforstung ist eine betrieblich und standörtlich sorgfältig zu planende Maßnahme zur Waldmehrung auf bislang nicht forstlich genutzten Flächen. Wird sie zugleich zur Erfüllung von Zielen der W-VO, zur Waldvernetzung, zur Schaffung neuer Waldlebensraumtypen und zur Verbesserung mehrerer Artikel-12-Indikatoren herangezogen, so bedarf es einer entsprechend umfangreichen, langfristigen Förderung.</w:t>
      </w:r>
    </w:p>
    <w:p w14:paraId="1AA70E90" w14:textId="12F3ED93" w:rsidR="00AA25EC" w:rsidRDefault="00AA25EC" w:rsidP="00066F99">
      <w:pPr>
        <w:pStyle w:val="berschrift2"/>
      </w:pPr>
      <w:r>
        <w:t>Spezifische Maßnahmen für Artikel 12 – Vertragsnaturschutz im Wald</w:t>
      </w:r>
    </w:p>
    <w:p w14:paraId="113707EB" w14:textId="77777777" w:rsidR="00AA25EC" w:rsidRPr="00AA25EC" w:rsidRDefault="00AA25EC" w:rsidP="00AA25EC">
      <w:r w:rsidRPr="00AA25EC">
        <w:t>Die Einordnung des Vertragsnaturschutzes im Wald in den Nationalen Wiederherstellungsplan ist auf zukünftige Vereinbarungen zu beschränken. Der Vertragsnaturschutz beruht auf Freiwilligkeit, konkreten Leistungsbeschreibungen bei angemessener Gegenleistung und klarer zeitlicher Bindung. Bestehende Verträge dürfen daher nicht nachträglich als allgemeiner Erfüllungsbaustein der W-VO vereinnahmt werden.</w:t>
      </w:r>
    </w:p>
    <w:p w14:paraId="768B4DAC" w14:textId="77777777" w:rsidR="00AA25EC" w:rsidRPr="00AA25EC" w:rsidRDefault="00AA25EC" w:rsidP="00AA25EC">
      <w:r w:rsidRPr="00AA25EC">
        <w:t>Kritisch ist, dass der NWP den Vertragsnaturschutz sehr breit mehreren Zielen der W-VO sowie nahezu allen Waldindikatoren nach Artikel 12 zuordnet. Da die einzelnen Verträge und Maßnahmen sehr unterschiedlich ausgestaltet sind, kann eine Anrechnung auf W-VO-Ziele nicht pauschal erfolgen, sondern nur Fall für Fall nach klarer Abgrenzung und Einzelfallprüfung.</w:t>
      </w:r>
    </w:p>
    <w:p w14:paraId="44504329" w14:textId="77777777" w:rsidR="00AA25EC" w:rsidRPr="0035472E" w:rsidRDefault="00AA25EC" w:rsidP="0035472E"/>
    <w:sectPr w:rsidR="00AA25EC" w:rsidRPr="0035472E" w:rsidSect="00190977">
      <w:headerReference w:type="default" r:id="rId9"/>
      <w:footerReference w:type="default" r:id="rId1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8B82" w14:textId="77777777" w:rsidR="002C755E" w:rsidRDefault="002C755E" w:rsidP="00A47497">
      <w:pPr>
        <w:spacing w:after="0" w:line="240" w:lineRule="auto"/>
      </w:pPr>
      <w:r>
        <w:separator/>
      </w:r>
    </w:p>
  </w:endnote>
  <w:endnote w:type="continuationSeparator" w:id="0">
    <w:p w14:paraId="59CFA739" w14:textId="77777777" w:rsidR="002C755E" w:rsidRDefault="002C755E" w:rsidP="00A4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85469"/>
      <w:docPartObj>
        <w:docPartGallery w:val="Page Numbers (Bottom of Page)"/>
        <w:docPartUnique/>
      </w:docPartObj>
    </w:sdtPr>
    <w:sdtEndPr/>
    <w:sdtContent>
      <w:p w14:paraId="72B06559" w14:textId="6AF26A09" w:rsidR="00230354" w:rsidRDefault="00230354">
        <w:pPr>
          <w:pStyle w:val="Fuzeile"/>
          <w:jc w:val="right"/>
        </w:pPr>
        <w:r>
          <w:fldChar w:fldCharType="begin"/>
        </w:r>
        <w:r>
          <w:instrText>PAGE   \* MERGEFORMAT</w:instrText>
        </w:r>
        <w:r>
          <w:fldChar w:fldCharType="separate"/>
        </w:r>
        <w:r>
          <w:t>2</w:t>
        </w:r>
        <w:r>
          <w:fldChar w:fldCharType="end"/>
        </w:r>
      </w:p>
    </w:sdtContent>
  </w:sdt>
  <w:p w14:paraId="12E9B14C" w14:textId="77777777" w:rsidR="00CD5C94" w:rsidRDefault="00CD5C94" w:rsidP="00CD5C94">
    <w:pPr>
      <w:pStyle w:val="Fuzeile"/>
      <w:ind w:firstLine="708"/>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436C" w14:textId="77777777" w:rsidR="002C755E" w:rsidRDefault="002C755E" w:rsidP="00A47497">
      <w:pPr>
        <w:spacing w:after="0" w:line="240" w:lineRule="auto"/>
      </w:pPr>
      <w:r>
        <w:separator/>
      </w:r>
    </w:p>
  </w:footnote>
  <w:footnote w:type="continuationSeparator" w:id="0">
    <w:p w14:paraId="6E42C4D0" w14:textId="77777777" w:rsidR="002C755E" w:rsidRDefault="002C755E" w:rsidP="00A47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BBF2" w14:textId="77777777" w:rsidR="00230354" w:rsidRPr="00CD5C94" w:rsidRDefault="00230354" w:rsidP="00C20735">
    <w:pPr>
      <w:pStyle w:val="Fuzeile"/>
      <w:ind w:left="6237" w:firstLine="1701"/>
      <w:rPr>
        <w:rFonts w:ascii="Arial" w:hAnsi="Arial" w:cs="Arial"/>
        <w:sz w:val="18"/>
        <w:szCs w:val="18"/>
      </w:rPr>
    </w:pPr>
    <w:r w:rsidRPr="00CD5C94">
      <w:rPr>
        <w:rFonts w:ascii="Arial" w:hAnsi="Arial" w:cs="Arial"/>
        <w:noProof/>
        <w:sz w:val="18"/>
        <w:szCs w:val="18"/>
      </w:rPr>
      <w:drawing>
        <wp:anchor distT="0" distB="0" distL="114300" distR="114300" simplePos="0" relativeHeight="251660288" behindDoc="0" locked="0" layoutInCell="1" allowOverlap="1" wp14:anchorId="1C8DA12E" wp14:editId="5C1AE020">
          <wp:simplePos x="0" y="0"/>
          <wp:positionH relativeFrom="column">
            <wp:posOffset>4618990</wp:posOffset>
          </wp:positionH>
          <wp:positionV relativeFrom="paragraph">
            <wp:posOffset>5715</wp:posOffset>
          </wp:positionV>
          <wp:extent cx="285750" cy="352549"/>
          <wp:effectExtent l="0" t="0" r="0" b="9525"/>
          <wp:wrapNone/>
          <wp:docPr id="17037286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09692" name="Grafik 1136809692"/>
                  <pic:cNvPicPr/>
                </pic:nvPicPr>
                <pic:blipFill>
                  <a:blip r:embed="rId1">
                    <a:extLst>
                      <a:ext uri="{28A0092B-C50C-407E-A947-70E740481C1C}">
                        <a14:useLocalDpi xmlns:a14="http://schemas.microsoft.com/office/drawing/2010/main" val="0"/>
                      </a:ext>
                    </a:extLst>
                  </a:blip>
                  <a:stretch>
                    <a:fillRect/>
                  </a:stretch>
                </pic:blipFill>
                <pic:spPr>
                  <a:xfrm>
                    <a:off x="0" y="0"/>
                    <a:ext cx="285750" cy="352549"/>
                  </a:xfrm>
                  <a:prstGeom prst="rect">
                    <a:avLst/>
                  </a:prstGeom>
                </pic:spPr>
              </pic:pic>
            </a:graphicData>
          </a:graphic>
          <wp14:sizeRelH relativeFrom="margin">
            <wp14:pctWidth>0</wp14:pctWidth>
          </wp14:sizeRelH>
          <wp14:sizeRelV relativeFrom="margin">
            <wp14:pctHeight>0</wp14:pctHeight>
          </wp14:sizeRelV>
        </wp:anchor>
      </w:drawing>
    </w:r>
    <w:r w:rsidRPr="00CD5C94">
      <w:rPr>
        <w:rFonts w:ascii="Arial" w:hAnsi="Arial" w:cs="Arial"/>
        <w:sz w:val="18"/>
        <w:szCs w:val="18"/>
      </w:rPr>
      <w:t>Bayerischer</w:t>
    </w:r>
  </w:p>
  <w:p w14:paraId="1DD81107" w14:textId="77777777" w:rsidR="00230354" w:rsidRPr="00CD5C94" w:rsidRDefault="00230354" w:rsidP="00C20735">
    <w:pPr>
      <w:pStyle w:val="Fuzeile"/>
      <w:ind w:left="6237" w:firstLine="1701"/>
      <w:rPr>
        <w:rFonts w:ascii="Arial" w:hAnsi="Arial" w:cs="Arial"/>
        <w:sz w:val="18"/>
        <w:szCs w:val="18"/>
      </w:rPr>
    </w:pPr>
    <w:r w:rsidRPr="00CD5C94">
      <w:rPr>
        <w:rFonts w:ascii="Arial" w:hAnsi="Arial" w:cs="Arial"/>
        <w:sz w:val="18"/>
        <w:szCs w:val="18"/>
      </w:rPr>
      <w:t>Waldbesitzer</w:t>
    </w:r>
  </w:p>
  <w:p w14:paraId="0511F26B" w14:textId="77777777" w:rsidR="00230354" w:rsidRPr="00CD5C94" w:rsidRDefault="00230354" w:rsidP="00C20735">
    <w:pPr>
      <w:pStyle w:val="Fuzeile"/>
      <w:ind w:left="6237" w:firstLine="1701"/>
      <w:rPr>
        <w:rFonts w:ascii="Arial" w:hAnsi="Arial" w:cs="Arial"/>
        <w:sz w:val="18"/>
        <w:szCs w:val="18"/>
      </w:rPr>
    </w:pPr>
    <w:r w:rsidRPr="00CD5C94">
      <w:rPr>
        <w:rFonts w:ascii="Arial" w:hAnsi="Arial" w:cs="Arial"/>
        <w:sz w:val="18"/>
        <w:szCs w:val="18"/>
      </w:rPr>
      <w:t>Verband e.V.</w:t>
    </w:r>
  </w:p>
  <w:p w14:paraId="1C3164CD" w14:textId="77777777" w:rsidR="00230354" w:rsidRPr="00230354" w:rsidRDefault="00230354" w:rsidP="002303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20E3"/>
    <w:multiLevelType w:val="multilevel"/>
    <w:tmpl w:val="A462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A395E"/>
    <w:multiLevelType w:val="hybridMultilevel"/>
    <w:tmpl w:val="3B6024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785422"/>
    <w:multiLevelType w:val="hybridMultilevel"/>
    <w:tmpl w:val="10D62CD8"/>
    <w:lvl w:ilvl="0" w:tplc="A89010F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9129BD"/>
    <w:multiLevelType w:val="multilevel"/>
    <w:tmpl w:val="F20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A4B90"/>
    <w:multiLevelType w:val="hybridMultilevel"/>
    <w:tmpl w:val="9A9014B4"/>
    <w:lvl w:ilvl="0" w:tplc="E74CF43E">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EB1C70"/>
    <w:multiLevelType w:val="multilevel"/>
    <w:tmpl w:val="4442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337BA"/>
    <w:multiLevelType w:val="multilevel"/>
    <w:tmpl w:val="3C1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0354E"/>
    <w:multiLevelType w:val="hybridMultilevel"/>
    <w:tmpl w:val="4ED82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DF2C89"/>
    <w:multiLevelType w:val="multilevel"/>
    <w:tmpl w:val="5DC8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60F90"/>
    <w:multiLevelType w:val="multilevel"/>
    <w:tmpl w:val="5E28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066A3"/>
    <w:multiLevelType w:val="multilevel"/>
    <w:tmpl w:val="B1F6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34410">
    <w:abstractNumId w:val="2"/>
  </w:num>
  <w:num w:numId="2" w16cid:durableId="1008756962">
    <w:abstractNumId w:val="4"/>
  </w:num>
  <w:num w:numId="3" w16cid:durableId="1921988964">
    <w:abstractNumId w:val="0"/>
  </w:num>
  <w:num w:numId="4" w16cid:durableId="564730175">
    <w:abstractNumId w:val="9"/>
  </w:num>
  <w:num w:numId="5" w16cid:durableId="1546913693">
    <w:abstractNumId w:val="5"/>
  </w:num>
  <w:num w:numId="6" w16cid:durableId="1164591584">
    <w:abstractNumId w:val="6"/>
  </w:num>
  <w:num w:numId="7" w16cid:durableId="902912928">
    <w:abstractNumId w:val="10"/>
  </w:num>
  <w:num w:numId="8" w16cid:durableId="788469947">
    <w:abstractNumId w:val="3"/>
  </w:num>
  <w:num w:numId="9" w16cid:durableId="1832212130">
    <w:abstractNumId w:val="8"/>
  </w:num>
  <w:num w:numId="10" w16cid:durableId="211698109">
    <w:abstractNumId w:val="7"/>
  </w:num>
  <w:num w:numId="11" w16cid:durableId="31896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55"/>
    <w:rsid w:val="00011813"/>
    <w:rsid w:val="00066F99"/>
    <w:rsid w:val="000972CA"/>
    <w:rsid w:val="000E48E3"/>
    <w:rsid w:val="00147E52"/>
    <w:rsid w:val="00154618"/>
    <w:rsid w:val="00160444"/>
    <w:rsid w:val="00163650"/>
    <w:rsid w:val="00190977"/>
    <w:rsid w:val="001A13F7"/>
    <w:rsid w:val="001A7A6A"/>
    <w:rsid w:val="001B765C"/>
    <w:rsid w:val="0020383B"/>
    <w:rsid w:val="00215565"/>
    <w:rsid w:val="00230354"/>
    <w:rsid w:val="00241C6D"/>
    <w:rsid w:val="002663BD"/>
    <w:rsid w:val="00293921"/>
    <w:rsid w:val="002A7013"/>
    <w:rsid w:val="002B59FC"/>
    <w:rsid w:val="002B7A6D"/>
    <w:rsid w:val="002C755E"/>
    <w:rsid w:val="002D3B3D"/>
    <w:rsid w:val="002E3881"/>
    <w:rsid w:val="00306934"/>
    <w:rsid w:val="0032356C"/>
    <w:rsid w:val="00334B3E"/>
    <w:rsid w:val="00352946"/>
    <w:rsid w:val="0035472E"/>
    <w:rsid w:val="003A7DF7"/>
    <w:rsid w:val="003B0F66"/>
    <w:rsid w:val="003C5E51"/>
    <w:rsid w:val="003E7CC0"/>
    <w:rsid w:val="003F2F69"/>
    <w:rsid w:val="00415016"/>
    <w:rsid w:val="00421216"/>
    <w:rsid w:val="00476EE4"/>
    <w:rsid w:val="00483991"/>
    <w:rsid w:val="00486B24"/>
    <w:rsid w:val="004A0AB4"/>
    <w:rsid w:val="004A5034"/>
    <w:rsid w:val="004B7A65"/>
    <w:rsid w:val="00515B06"/>
    <w:rsid w:val="0051709A"/>
    <w:rsid w:val="0053375D"/>
    <w:rsid w:val="005669BF"/>
    <w:rsid w:val="005735C2"/>
    <w:rsid w:val="005B331E"/>
    <w:rsid w:val="005B7D11"/>
    <w:rsid w:val="005F50FC"/>
    <w:rsid w:val="006C0E7A"/>
    <w:rsid w:val="006C62DF"/>
    <w:rsid w:val="006D34C8"/>
    <w:rsid w:val="00711052"/>
    <w:rsid w:val="00717DAF"/>
    <w:rsid w:val="00735CBF"/>
    <w:rsid w:val="0074224E"/>
    <w:rsid w:val="0078305F"/>
    <w:rsid w:val="00801F72"/>
    <w:rsid w:val="008165B6"/>
    <w:rsid w:val="00834CC6"/>
    <w:rsid w:val="0084078F"/>
    <w:rsid w:val="00881828"/>
    <w:rsid w:val="008B7F9D"/>
    <w:rsid w:val="008E3D77"/>
    <w:rsid w:val="008F7162"/>
    <w:rsid w:val="00924B77"/>
    <w:rsid w:val="0093250A"/>
    <w:rsid w:val="009346C0"/>
    <w:rsid w:val="0097386A"/>
    <w:rsid w:val="009805EB"/>
    <w:rsid w:val="009B612A"/>
    <w:rsid w:val="00A1318C"/>
    <w:rsid w:val="00A47497"/>
    <w:rsid w:val="00A5185C"/>
    <w:rsid w:val="00A77764"/>
    <w:rsid w:val="00A93290"/>
    <w:rsid w:val="00AA04D2"/>
    <w:rsid w:val="00AA218F"/>
    <w:rsid w:val="00AA25EC"/>
    <w:rsid w:val="00AA3BED"/>
    <w:rsid w:val="00AB046B"/>
    <w:rsid w:val="00AC4373"/>
    <w:rsid w:val="00AC6900"/>
    <w:rsid w:val="00AF1D76"/>
    <w:rsid w:val="00AF23A9"/>
    <w:rsid w:val="00B14592"/>
    <w:rsid w:val="00B37575"/>
    <w:rsid w:val="00B37D3E"/>
    <w:rsid w:val="00B550D9"/>
    <w:rsid w:val="00B743F2"/>
    <w:rsid w:val="00B77D6E"/>
    <w:rsid w:val="00BD0887"/>
    <w:rsid w:val="00BF51B8"/>
    <w:rsid w:val="00C20735"/>
    <w:rsid w:val="00C32A62"/>
    <w:rsid w:val="00C35425"/>
    <w:rsid w:val="00C608C9"/>
    <w:rsid w:val="00CC2A55"/>
    <w:rsid w:val="00CD514B"/>
    <w:rsid w:val="00CD5C94"/>
    <w:rsid w:val="00CF2C48"/>
    <w:rsid w:val="00CF54A0"/>
    <w:rsid w:val="00D6545B"/>
    <w:rsid w:val="00DA3715"/>
    <w:rsid w:val="00DB0EE7"/>
    <w:rsid w:val="00DC23FD"/>
    <w:rsid w:val="00E14755"/>
    <w:rsid w:val="00E56AA1"/>
    <w:rsid w:val="00E81936"/>
    <w:rsid w:val="00E90187"/>
    <w:rsid w:val="00E951CF"/>
    <w:rsid w:val="00EC1716"/>
    <w:rsid w:val="00EF1D50"/>
    <w:rsid w:val="00F02589"/>
    <w:rsid w:val="00F4769C"/>
    <w:rsid w:val="00F5021A"/>
    <w:rsid w:val="00F716CA"/>
    <w:rsid w:val="00F7291D"/>
    <w:rsid w:val="00FC5EDD"/>
    <w:rsid w:val="00FE0581"/>
    <w:rsid w:val="00FE48BD"/>
    <w:rsid w:val="00FF2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427F"/>
  <w15:chartTrackingRefBased/>
  <w15:docId w15:val="{ED9FEBF4-A95D-420A-9B5B-41FA9888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31E"/>
    <w:rPr>
      <w:sz w:val="22"/>
    </w:rPr>
  </w:style>
  <w:style w:type="paragraph" w:styleId="berschrift1">
    <w:name w:val="heading 1"/>
    <w:basedOn w:val="Standard"/>
    <w:next w:val="Standard"/>
    <w:link w:val="berschrift1Zchn"/>
    <w:uiPriority w:val="9"/>
    <w:qFormat/>
    <w:rsid w:val="005B331E"/>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berschrift2">
    <w:name w:val="heading 2"/>
    <w:basedOn w:val="Standard"/>
    <w:next w:val="Standard"/>
    <w:link w:val="berschrift2Zchn"/>
    <w:uiPriority w:val="9"/>
    <w:unhideWhenUsed/>
    <w:qFormat/>
    <w:rsid w:val="005B331E"/>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berschrift3">
    <w:name w:val="heading 3"/>
    <w:basedOn w:val="Standard"/>
    <w:next w:val="Standard"/>
    <w:link w:val="berschrift3Zchn"/>
    <w:uiPriority w:val="9"/>
    <w:unhideWhenUsed/>
    <w:qFormat/>
    <w:rsid w:val="00E1475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475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475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475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475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475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475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331E"/>
    <w:rPr>
      <w:rFonts w:asciiTheme="majorHAnsi" w:eastAsiaTheme="majorEastAsia" w:hAnsiTheme="majorHAnsi" w:cstheme="majorBidi"/>
      <w:color w:val="0F4761" w:themeColor="accent1" w:themeShade="BF"/>
      <w:sz w:val="32"/>
      <w:szCs w:val="40"/>
    </w:rPr>
  </w:style>
  <w:style w:type="character" w:customStyle="1" w:styleId="berschrift2Zchn">
    <w:name w:val="Überschrift 2 Zchn"/>
    <w:basedOn w:val="Absatz-Standardschriftart"/>
    <w:link w:val="berschrift2"/>
    <w:uiPriority w:val="9"/>
    <w:rsid w:val="005B331E"/>
    <w:rPr>
      <w:rFonts w:asciiTheme="majorHAnsi" w:eastAsiaTheme="majorEastAsia" w:hAnsiTheme="majorHAnsi" w:cstheme="majorBidi"/>
      <w:color w:val="0F4761" w:themeColor="accent1" w:themeShade="BF"/>
      <w:sz w:val="28"/>
      <w:szCs w:val="32"/>
    </w:rPr>
  </w:style>
  <w:style w:type="character" w:customStyle="1" w:styleId="berschrift3Zchn">
    <w:name w:val="Überschrift 3 Zchn"/>
    <w:basedOn w:val="Absatz-Standardschriftart"/>
    <w:link w:val="berschrift3"/>
    <w:uiPriority w:val="9"/>
    <w:rsid w:val="00E1475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475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475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475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475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475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4755"/>
    <w:rPr>
      <w:rFonts w:eastAsiaTheme="majorEastAsia" w:cstheme="majorBidi"/>
      <w:color w:val="272727" w:themeColor="text1" w:themeTint="D8"/>
    </w:rPr>
  </w:style>
  <w:style w:type="paragraph" w:styleId="Titel">
    <w:name w:val="Title"/>
    <w:basedOn w:val="Standard"/>
    <w:next w:val="Standard"/>
    <w:link w:val="TitelZchn"/>
    <w:uiPriority w:val="10"/>
    <w:qFormat/>
    <w:rsid w:val="00E14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475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475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475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475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4755"/>
    <w:rPr>
      <w:i/>
      <w:iCs/>
      <w:color w:val="404040" w:themeColor="text1" w:themeTint="BF"/>
    </w:rPr>
  </w:style>
  <w:style w:type="paragraph" w:styleId="Listenabsatz">
    <w:name w:val="List Paragraph"/>
    <w:basedOn w:val="Standard"/>
    <w:uiPriority w:val="34"/>
    <w:qFormat/>
    <w:rsid w:val="00E14755"/>
    <w:pPr>
      <w:ind w:left="720"/>
      <w:contextualSpacing/>
    </w:pPr>
  </w:style>
  <w:style w:type="character" w:styleId="IntensiveHervorhebung">
    <w:name w:val="Intense Emphasis"/>
    <w:basedOn w:val="Absatz-Standardschriftart"/>
    <w:uiPriority w:val="21"/>
    <w:qFormat/>
    <w:rsid w:val="00E14755"/>
    <w:rPr>
      <w:i/>
      <w:iCs/>
      <w:color w:val="0F4761" w:themeColor="accent1" w:themeShade="BF"/>
    </w:rPr>
  </w:style>
  <w:style w:type="paragraph" w:styleId="IntensivesZitat">
    <w:name w:val="Intense Quote"/>
    <w:basedOn w:val="Standard"/>
    <w:next w:val="Standard"/>
    <w:link w:val="IntensivesZitatZchn"/>
    <w:uiPriority w:val="30"/>
    <w:qFormat/>
    <w:rsid w:val="00E14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4755"/>
    <w:rPr>
      <w:i/>
      <w:iCs/>
      <w:color w:val="0F4761" w:themeColor="accent1" w:themeShade="BF"/>
    </w:rPr>
  </w:style>
  <w:style w:type="character" w:styleId="IntensiverVerweis">
    <w:name w:val="Intense Reference"/>
    <w:basedOn w:val="Absatz-Standardschriftart"/>
    <w:uiPriority w:val="32"/>
    <w:qFormat/>
    <w:rsid w:val="00E14755"/>
    <w:rPr>
      <w:b/>
      <w:bCs/>
      <w:smallCaps/>
      <w:color w:val="0F4761" w:themeColor="accent1" w:themeShade="BF"/>
      <w:spacing w:val="5"/>
    </w:rPr>
  </w:style>
  <w:style w:type="character" w:styleId="Hyperlink">
    <w:name w:val="Hyperlink"/>
    <w:basedOn w:val="Absatz-Standardschriftart"/>
    <w:uiPriority w:val="99"/>
    <w:unhideWhenUsed/>
    <w:rsid w:val="002D3B3D"/>
    <w:rPr>
      <w:color w:val="467886" w:themeColor="hyperlink"/>
      <w:u w:val="single"/>
    </w:rPr>
  </w:style>
  <w:style w:type="character" w:styleId="NichtaufgelsteErwhnung">
    <w:name w:val="Unresolved Mention"/>
    <w:basedOn w:val="Absatz-Standardschriftart"/>
    <w:uiPriority w:val="99"/>
    <w:semiHidden/>
    <w:unhideWhenUsed/>
    <w:rsid w:val="002D3B3D"/>
    <w:rPr>
      <w:color w:val="605E5C"/>
      <w:shd w:val="clear" w:color="auto" w:fill="E1DFDD"/>
    </w:rPr>
  </w:style>
  <w:style w:type="paragraph" w:styleId="Kopfzeile">
    <w:name w:val="header"/>
    <w:basedOn w:val="Standard"/>
    <w:link w:val="KopfzeileZchn"/>
    <w:uiPriority w:val="99"/>
    <w:unhideWhenUsed/>
    <w:rsid w:val="00A474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497"/>
    <w:rPr>
      <w:sz w:val="22"/>
    </w:rPr>
  </w:style>
  <w:style w:type="paragraph" w:styleId="Fuzeile">
    <w:name w:val="footer"/>
    <w:basedOn w:val="Standard"/>
    <w:link w:val="FuzeileZchn"/>
    <w:uiPriority w:val="99"/>
    <w:unhideWhenUsed/>
    <w:rsid w:val="00A474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4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eteiligung.bundesumweltministerium.de/de/nationaler-wiederherstellungs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2218</Words>
  <Characters>13977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Gernand</dc:creator>
  <cp:keywords/>
  <dc:description/>
  <cp:lastModifiedBy>Barbara Weindler</cp:lastModifiedBy>
  <cp:revision>7</cp:revision>
  <cp:lastPrinted>2026-06-11T13:05:00Z</cp:lastPrinted>
  <dcterms:created xsi:type="dcterms:W3CDTF">2026-06-11T10:14:00Z</dcterms:created>
  <dcterms:modified xsi:type="dcterms:W3CDTF">2026-06-12T08:15:00Z</dcterms:modified>
</cp:coreProperties>
</file>